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D2574" w14:textId="77777777" w:rsidR="00197D7C" w:rsidRPr="00117059" w:rsidRDefault="004F242F" w:rsidP="00677AC0">
      <w:pPr>
        <w:spacing w:after="0" w:line="240" w:lineRule="auto"/>
        <w:jc w:val="center"/>
        <w:rPr>
          <w:rFonts w:asciiTheme="minorHAnsi" w:hAnsiTheme="minorHAnsi" w:cstheme="minorHAnsi"/>
          <w:b/>
          <w:sz w:val="24"/>
          <w:szCs w:val="24"/>
        </w:rPr>
      </w:pPr>
      <w:bookmarkStart w:id="0" w:name="_heading=h.gjdgxs" w:colFirst="0" w:colLast="0"/>
      <w:bookmarkEnd w:id="0"/>
      <w:r w:rsidRPr="00117059">
        <w:rPr>
          <w:rFonts w:asciiTheme="minorHAnsi" w:hAnsiTheme="minorHAnsi" w:cstheme="minorHAnsi"/>
          <w:b/>
          <w:sz w:val="24"/>
          <w:szCs w:val="24"/>
        </w:rPr>
        <w:t>Proyecto Primer y Segundo Informe Bienal de Transparencia y Quinta Comunicación Nacional (1BTR + 5NC &amp; 2BTR)</w:t>
      </w:r>
    </w:p>
    <w:p w14:paraId="19027AB5" w14:textId="77777777" w:rsidR="00197D7C" w:rsidRPr="00117059" w:rsidRDefault="00197D7C" w:rsidP="00677AC0">
      <w:pPr>
        <w:spacing w:after="0" w:line="240" w:lineRule="auto"/>
        <w:jc w:val="both"/>
        <w:rPr>
          <w:rFonts w:asciiTheme="minorHAnsi" w:hAnsiTheme="minorHAnsi" w:cstheme="minorHAnsi"/>
          <w:b/>
          <w:sz w:val="24"/>
          <w:szCs w:val="24"/>
        </w:rPr>
      </w:pPr>
    </w:p>
    <w:p w14:paraId="4AA15796" w14:textId="77777777" w:rsidR="00BF5A20" w:rsidRPr="00117059" w:rsidRDefault="00BF5A20" w:rsidP="00677AC0">
      <w:pPr>
        <w:spacing w:after="0" w:line="240" w:lineRule="auto"/>
        <w:jc w:val="center"/>
        <w:rPr>
          <w:rFonts w:asciiTheme="minorHAnsi" w:hAnsiTheme="minorHAnsi" w:cstheme="minorHAnsi"/>
          <w:b/>
          <w:sz w:val="24"/>
          <w:szCs w:val="24"/>
        </w:rPr>
      </w:pPr>
    </w:p>
    <w:p w14:paraId="45BBEC8E" w14:textId="372D82AA" w:rsidR="005F7B4A" w:rsidRPr="00CB3E07" w:rsidRDefault="00BF5A20" w:rsidP="00194B84">
      <w:pPr>
        <w:spacing w:after="0" w:line="240" w:lineRule="auto"/>
        <w:jc w:val="center"/>
        <w:outlineLvl w:val="1"/>
        <w:rPr>
          <w:rFonts w:asciiTheme="minorHAnsi" w:hAnsiTheme="minorHAnsi" w:cstheme="minorHAnsi"/>
          <w:b/>
          <w:sz w:val="24"/>
          <w:szCs w:val="24"/>
        </w:rPr>
      </w:pPr>
      <w:r w:rsidRPr="00117059">
        <w:rPr>
          <w:rFonts w:asciiTheme="minorHAnsi" w:hAnsiTheme="minorHAnsi" w:cstheme="minorHAnsi"/>
          <w:b/>
          <w:sz w:val="24"/>
          <w:szCs w:val="24"/>
        </w:rPr>
        <w:t>“</w:t>
      </w:r>
      <w:bookmarkStart w:id="1" w:name="_Hlk233184054"/>
      <w:r w:rsidR="00201FF5" w:rsidRPr="00201FF5">
        <w:rPr>
          <w:b/>
          <w:bCs/>
          <w:i/>
          <w:iCs/>
          <w:sz w:val="24"/>
          <w:szCs w:val="24"/>
        </w:rPr>
        <w:t>Asistente Técnico/a para la Evaluación de Mapas del Sector AFOLU (Agropecuario, Silvicultura y Otros Usos de la Tierra) para el 2º BTR (Informe Bienal de Transparencia) del Paraguay</w:t>
      </w:r>
      <w:r w:rsidRPr="00CB3E07">
        <w:rPr>
          <w:rFonts w:asciiTheme="minorHAnsi" w:hAnsiTheme="minorHAnsi" w:cstheme="minorHAnsi"/>
          <w:b/>
          <w:sz w:val="24"/>
          <w:szCs w:val="24"/>
        </w:rPr>
        <w:t>”</w:t>
      </w:r>
      <w:bookmarkEnd w:id="1"/>
    </w:p>
    <w:p w14:paraId="29CCCA9B" w14:textId="77777777" w:rsidR="00194B84" w:rsidRPr="00117059" w:rsidRDefault="00194B84" w:rsidP="008D0C01">
      <w:pPr>
        <w:spacing w:after="0" w:line="240" w:lineRule="auto"/>
        <w:outlineLvl w:val="1"/>
        <w:rPr>
          <w:rFonts w:asciiTheme="minorHAnsi" w:hAnsiTheme="minorHAnsi" w:cstheme="minorHAnsi"/>
          <w:b/>
          <w:sz w:val="24"/>
          <w:szCs w:val="24"/>
        </w:rPr>
      </w:pPr>
    </w:p>
    <w:p w14:paraId="22D90075" w14:textId="07746F26" w:rsidR="00197D7C" w:rsidRPr="00117059" w:rsidRDefault="00194B84" w:rsidP="00677AC0">
      <w:pPr>
        <w:numPr>
          <w:ilvl w:val="0"/>
          <w:numId w:val="5"/>
        </w:numPr>
        <w:spacing w:after="0" w:line="240" w:lineRule="auto"/>
        <w:jc w:val="both"/>
        <w:rPr>
          <w:rFonts w:asciiTheme="minorHAnsi" w:hAnsiTheme="minorHAnsi" w:cstheme="minorHAnsi"/>
          <w:sz w:val="24"/>
          <w:szCs w:val="24"/>
        </w:rPr>
      </w:pPr>
      <w:r w:rsidRPr="00117059">
        <w:rPr>
          <w:rFonts w:asciiTheme="minorHAnsi" w:hAnsiTheme="minorHAnsi" w:cstheme="minorHAnsi"/>
          <w:b/>
          <w:sz w:val="24"/>
          <w:szCs w:val="24"/>
        </w:rPr>
        <w:t xml:space="preserve">ANTECEDENTES </w:t>
      </w:r>
    </w:p>
    <w:p w14:paraId="79F33D66" w14:textId="77777777" w:rsidR="00197D7C" w:rsidRPr="00117059" w:rsidRDefault="00197D7C" w:rsidP="00677AC0">
      <w:pPr>
        <w:spacing w:after="0" w:line="240" w:lineRule="auto"/>
        <w:jc w:val="both"/>
        <w:rPr>
          <w:rFonts w:asciiTheme="minorHAnsi" w:hAnsiTheme="minorHAnsi" w:cstheme="minorHAnsi"/>
          <w:sz w:val="24"/>
          <w:szCs w:val="24"/>
        </w:rPr>
      </w:pPr>
    </w:p>
    <w:p w14:paraId="354041C4" w14:textId="77777777" w:rsidR="00117059" w:rsidRPr="00117059" w:rsidRDefault="00117059" w:rsidP="00117059">
      <w:pPr>
        <w:spacing w:after="80"/>
        <w:ind w:right="27"/>
        <w:jc w:val="both"/>
        <w:rPr>
          <w:rFonts w:asciiTheme="minorHAnsi" w:eastAsia="Candara" w:hAnsiTheme="minorHAnsi" w:cstheme="minorHAnsi"/>
          <w:sz w:val="24"/>
          <w:szCs w:val="24"/>
          <w:lang w:val="es-PY" w:eastAsia="en-IN"/>
        </w:rPr>
      </w:pPr>
      <w:r w:rsidRPr="00117059">
        <w:rPr>
          <w:rFonts w:asciiTheme="minorHAnsi" w:eastAsia="Candara" w:hAnsiTheme="minorHAnsi" w:cstheme="minorHAnsi"/>
          <w:sz w:val="24"/>
          <w:szCs w:val="24"/>
          <w:lang w:val="es-PY" w:eastAsia="en-IN"/>
        </w:rPr>
        <w:t>La incorporación del cambio climático al derecho positivo paraguayo se formaliza con la promulgación de la Ley 251/93 que aprueba la Convención Marco de las Naciones Unidas sobre el Cambio Climático, adoptada durante la Conferencia de las Naciones Unidas sobre Medio Ambiente y Desarrollo - Cumbre de la Tierra - celebrada en la ciudad de Río de Janeiro, Brasil. Con la ratificación de la Convención a través de un instrumento jurídico, que se dio oficialmente en febrero de 1994, Paraguay asume derechos y obligaciones, en el ámbito jurídico internacional, respecto de la acción climática. En el marco del compromiso del país para cumplir con los objetivos de la Convención, en el año 2001 se implementó el Plan Nacional de Cambio Climático (PNCC) coordinado por el MADES y se iniciaron las actividades de la Comisión Nacional de Cambio Climático (CNCC).</w:t>
      </w:r>
    </w:p>
    <w:p w14:paraId="7D27DB5C" w14:textId="77777777" w:rsidR="00117059" w:rsidRPr="00117059" w:rsidRDefault="00117059" w:rsidP="00117059">
      <w:pPr>
        <w:spacing w:after="80"/>
        <w:jc w:val="both"/>
        <w:rPr>
          <w:rFonts w:asciiTheme="minorHAnsi" w:hAnsiTheme="minorHAnsi" w:cstheme="minorHAnsi"/>
          <w:color w:val="000000"/>
          <w:sz w:val="24"/>
          <w:szCs w:val="24"/>
          <w:lang w:val="es-PY"/>
        </w:rPr>
      </w:pPr>
      <w:r w:rsidRPr="00117059">
        <w:rPr>
          <w:rFonts w:asciiTheme="minorHAnsi" w:hAnsiTheme="minorHAnsi" w:cstheme="minorHAnsi"/>
          <w:color w:val="000000"/>
          <w:sz w:val="24"/>
          <w:szCs w:val="24"/>
          <w:lang w:val="es-PY"/>
        </w:rPr>
        <w:t>El artículo 4 de la Convención Marco de las Naciones Unidas sobre el Cambio Climático establece como obligación para todas las Partes, teniendo en cuenta sus responsabilidades comunes pero diferenciadas, elaborar, actualizar periódicamente, publicar y proporcionar a la Conferencia de las Partes inventarios nacionales de emisiones antropógenas por fuentes. y remociones por sumideros, de todos los gases de efecto invernadero no controlados por el Protocolo de Montreal, utilizando metodologías comparables acordadas por la Conferencia de las Partes, en donde el Paraguay debe reportar periódicamente a la Convención su Inventario Nacional de Gases de Efecto Invernadero, a través de dos mecanismos, con estructuras diferentes que fueron aprobadas en la Conferencia de las Partes: Comunicaciones Nacionales e Informes Bienales de Actualización.</w:t>
      </w:r>
    </w:p>
    <w:p w14:paraId="7D174C7B" w14:textId="77777777" w:rsidR="00117059" w:rsidRPr="00117059" w:rsidRDefault="00117059" w:rsidP="00117059">
      <w:pPr>
        <w:spacing w:after="80"/>
        <w:jc w:val="both"/>
        <w:rPr>
          <w:rFonts w:asciiTheme="minorHAnsi" w:hAnsiTheme="minorHAnsi" w:cstheme="minorHAnsi"/>
          <w:color w:val="000000"/>
          <w:sz w:val="24"/>
          <w:szCs w:val="24"/>
          <w:lang w:val="es-PY"/>
        </w:rPr>
      </w:pPr>
      <w:r w:rsidRPr="00117059">
        <w:rPr>
          <w:rFonts w:asciiTheme="minorHAnsi" w:hAnsiTheme="minorHAnsi" w:cstheme="minorHAnsi"/>
          <w:color w:val="000000"/>
          <w:sz w:val="24"/>
          <w:szCs w:val="24"/>
          <w:lang w:val="es-PY"/>
        </w:rPr>
        <w:t>Para fortalecer la respuesta global a las amenazas del cambio climático, los países que adoptaron el Acuerdo de París en 2015 adoptaron el Marco de Transparencia Reforzado. Lo anterior establece que la presentación del IBA bajo la Convención será reemplazada por la presentación del Informe Bienal de Transparencia (IBT). Según 18/CMA. 1, párr. 3, todas las Partes deben presentar el primer IBT antes de diciembre de 2024.</w:t>
      </w:r>
    </w:p>
    <w:p w14:paraId="01DE18D4" w14:textId="77777777" w:rsidR="00117059" w:rsidRPr="00117059" w:rsidRDefault="00117059" w:rsidP="00117059">
      <w:pPr>
        <w:spacing w:after="80"/>
        <w:ind w:right="27"/>
        <w:jc w:val="both"/>
        <w:rPr>
          <w:rFonts w:asciiTheme="minorHAnsi" w:eastAsia="Candara" w:hAnsiTheme="minorHAnsi" w:cstheme="minorHAnsi"/>
          <w:sz w:val="24"/>
          <w:szCs w:val="24"/>
          <w:lang w:val="es-PY" w:eastAsia="en-IN"/>
        </w:rPr>
      </w:pPr>
      <w:bookmarkStart w:id="2" w:name="_Hlk152158346"/>
      <w:r w:rsidRPr="00117059">
        <w:rPr>
          <w:rFonts w:asciiTheme="minorHAnsi" w:eastAsia="Candara" w:hAnsiTheme="minorHAnsi" w:cstheme="minorHAnsi"/>
          <w:sz w:val="24"/>
          <w:szCs w:val="24"/>
          <w:lang w:val="es-PY" w:eastAsia="en-IN"/>
        </w:rPr>
        <w:t>A la fecha, Paraguay ha presentado cuatros comunicaciones nacionales a la Convención: la primera comunicación nacional en 2001, la segunda en 2011, la tercera en 2017 y la Cuarta Comunicación Nacional en el año 2023, así como tres informes bienales de actualización, el primero en 2015, el segundo en 2018 y el tercero en 2021.</w:t>
      </w:r>
    </w:p>
    <w:p w14:paraId="2F53409A" w14:textId="7C630D45" w:rsidR="00CB3E07" w:rsidRDefault="00117059" w:rsidP="00CB3E07">
      <w:pPr>
        <w:spacing w:after="80"/>
        <w:ind w:right="27"/>
        <w:jc w:val="both"/>
        <w:rPr>
          <w:rFonts w:asciiTheme="minorHAnsi" w:eastAsia="Candara" w:hAnsiTheme="minorHAnsi" w:cstheme="minorHAnsi"/>
          <w:sz w:val="24"/>
          <w:szCs w:val="24"/>
          <w:lang w:val="es-PY" w:eastAsia="en-IN"/>
        </w:rPr>
      </w:pPr>
      <w:r w:rsidRPr="00117059">
        <w:rPr>
          <w:rFonts w:asciiTheme="minorHAnsi" w:hAnsiTheme="minorHAnsi" w:cstheme="minorHAnsi"/>
          <w:sz w:val="24"/>
          <w:szCs w:val="24"/>
          <w:lang w:val="es-PY"/>
        </w:rPr>
        <w:t xml:space="preserve">Este proyecto permitirá a </w:t>
      </w:r>
      <w:r w:rsidRPr="00117059">
        <w:rPr>
          <w:rFonts w:asciiTheme="minorHAnsi" w:eastAsia="Candara" w:hAnsiTheme="minorHAnsi" w:cstheme="minorHAnsi"/>
          <w:color w:val="000000"/>
          <w:sz w:val="24"/>
          <w:szCs w:val="24"/>
          <w:lang w:val="es-PY" w:eastAsia="en-IN"/>
        </w:rPr>
        <w:t xml:space="preserve">Paraguay a </w:t>
      </w:r>
      <w:r w:rsidRPr="00117059">
        <w:rPr>
          <w:rFonts w:asciiTheme="minorHAnsi" w:hAnsiTheme="minorHAnsi" w:cstheme="minorHAnsi"/>
          <w:sz w:val="24"/>
          <w:szCs w:val="24"/>
          <w:lang w:val="es-PY"/>
        </w:rPr>
        <w:t xml:space="preserve">preparar y presentar su Primer Informe Bienal de Transparencia (1BTR) como informe independiente y la Quinta Comunicación Nacional y el </w:t>
      </w:r>
      <w:r w:rsidRPr="00117059">
        <w:rPr>
          <w:rFonts w:asciiTheme="minorHAnsi" w:hAnsiTheme="minorHAnsi" w:cstheme="minorHAnsi"/>
          <w:sz w:val="24"/>
          <w:szCs w:val="24"/>
          <w:lang w:val="es-PY"/>
        </w:rPr>
        <w:lastRenderedPageBreak/>
        <w:t>Segundo Informe Bienal de Transparencia (5NC/2BTR) como informe combinado, para cumplir con sus obligaciones de presentación de informes en virtud de la CMNUCC y el Acuerdo de París de conformidad con las Modalidades, Procedimientos y Directrices (MPG) para el marco de transparencia para la acción y el apoyo a que se refiere el artículo 13 del Acuerdo de París (</w:t>
      </w:r>
      <w:hyperlink r:id="rId8">
        <w:r w:rsidRPr="00117059">
          <w:rPr>
            <w:rStyle w:val="Hipervnculo"/>
            <w:rFonts w:asciiTheme="minorHAnsi" w:hAnsiTheme="minorHAnsi" w:cstheme="minorHAnsi"/>
            <w:sz w:val="24"/>
            <w:szCs w:val="24"/>
            <w:lang w:val="es-PY"/>
          </w:rPr>
          <w:t>Decisión 18/CMA.1</w:t>
        </w:r>
      </w:hyperlink>
      <w:r w:rsidRPr="00117059">
        <w:rPr>
          <w:rFonts w:asciiTheme="minorHAnsi" w:hAnsiTheme="minorHAnsi" w:cstheme="minorHAnsi"/>
          <w:sz w:val="24"/>
          <w:szCs w:val="24"/>
          <w:lang w:val="es-PY"/>
        </w:rPr>
        <w:t xml:space="preserve">) y la orientación sobre la puesta en funcionamiento de los MPG según </w:t>
      </w:r>
      <w:hyperlink r:id="rId9">
        <w:r w:rsidRPr="00117059">
          <w:rPr>
            <w:rStyle w:val="Hipervnculo"/>
            <w:rFonts w:asciiTheme="minorHAnsi" w:hAnsiTheme="minorHAnsi" w:cstheme="minorHAnsi"/>
            <w:sz w:val="24"/>
            <w:szCs w:val="24"/>
            <w:lang w:val="es-PY"/>
          </w:rPr>
          <w:t>Decisión 5/CMA.3</w:t>
        </w:r>
      </w:hyperlink>
      <w:r w:rsidRPr="00117059">
        <w:rPr>
          <w:rFonts w:asciiTheme="minorHAnsi" w:hAnsiTheme="minorHAnsi" w:cstheme="minorHAnsi"/>
          <w:sz w:val="24"/>
          <w:szCs w:val="24"/>
          <w:lang w:val="es-PY"/>
        </w:rPr>
        <w:t>. El proyecto fortalecerá aún más la capacidad técnica e institucional para ayudar a Paraguay a incorporar las preocupaciones sobre el cambio climático en las prioridades de desarrollo sectoriales y nacionales y para permitir que los gobiernos a nivel de entidades y estados respondan a las obligaciones ambientales internacionales fortaleciendo y dando continuidad al desarrollo de capacidades institucionales y técnicas que ha sido iniciado y sostenido por las Comunicaciones Nacionales, los Informes Bienales de Actualización y el proyecto/proceso CBIT hasta la fecha.</w:t>
      </w:r>
      <w:bookmarkEnd w:id="2"/>
    </w:p>
    <w:p w14:paraId="658C87D0" w14:textId="77777777" w:rsidR="00351FCE" w:rsidRPr="00CB3E07" w:rsidRDefault="00351FCE" w:rsidP="00CB3E07">
      <w:pPr>
        <w:spacing w:after="80"/>
        <w:ind w:right="27"/>
        <w:jc w:val="both"/>
        <w:rPr>
          <w:rFonts w:asciiTheme="minorHAnsi" w:eastAsia="Candara" w:hAnsiTheme="minorHAnsi" w:cstheme="minorHAnsi"/>
          <w:sz w:val="24"/>
          <w:szCs w:val="24"/>
          <w:lang w:val="es-PY" w:eastAsia="en-IN"/>
        </w:rPr>
      </w:pPr>
    </w:p>
    <w:p w14:paraId="66A968D4" w14:textId="1D3C89A8" w:rsidR="00194B84" w:rsidRPr="00CB3E07" w:rsidRDefault="00194B84" w:rsidP="00CB3E07">
      <w:pPr>
        <w:numPr>
          <w:ilvl w:val="0"/>
          <w:numId w:val="5"/>
        </w:numPr>
        <w:spacing w:after="0" w:line="240" w:lineRule="auto"/>
        <w:jc w:val="both"/>
        <w:rPr>
          <w:rFonts w:asciiTheme="minorHAnsi" w:hAnsiTheme="minorHAnsi" w:cstheme="minorHAnsi"/>
          <w:sz w:val="24"/>
          <w:szCs w:val="24"/>
        </w:rPr>
      </w:pPr>
      <w:r w:rsidRPr="00117059">
        <w:rPr>
          <w:rFonts w:asciiTheme="minorHAnsi" w:hAnsiTheme="minorHAnsi" w:cstheme="minorHAnsi"/>
          <w:b/>
          <w:sz w:val="24"/>
          <w:szCs w:val="24"/>
        </w:rPr>
        <w:t xml:space="preserve">OBJETIVO DEL PROYECTO. </w:t>
      </w:r>
    </w:p>
    <w:p w14:paraId="4068E760" w14:textId="796C2230" w:rsidR="00197D7C" w:rsidRPr="00117059" w:rsidRDefault="004F242F" w:rsidP="00677AC0">
      <w:pPr>
        <w:spacing w:after="0" w:line="240" w:lineRule="auto"/>
        <w:jc w:val="both"/>
        <w:rPr>
          <w:rFonts w:asciiTheme="minorHAnsi" w:hAnsiTheme="minorHAnsi" w:cstheme="minorHAnsi"/>
          <w:sz w:val="24"/>
          <w:szCs w:val="24"/>
        </w:rPr>
      </w:pPr>
      <w:r w:rsidRPr="00117059">
        <w:rPr>
          <w:rFonts w:asciiTheme="minorHAnsi" w:hAnsiTheme="minorHAnsi" w:cstheme="minorHAnsi"/>
          <w:sz w:val="24"/>
          <w:szCs w:val="24"/>
        </w:rPr>
        <w:t>El proyecto apoyará a la República del Paraguay a preparar y presentar su Primer Informe Bienal de Transparencia (1BTR) como un informe independiente y la Quinta Comunicación Nacional y el Segundo Informe Bienal de Transparencia (5NC/2BTR) como un informe combinado, para cumplir con sus obligaciones de presentación de informes bajo la CMNUCC y el Acuerdo de París, en consonancia con las Modalidades, Procedimientos y Directrices (MPG) para el marco de transparencia para la acción y el apoyo mencionado en el artículo 13 del Acuerdo de París (Decisión 18/CMA.1) y las orientaciones sobre la puesta en práctica del MPG según Decisión 5/CMA.3.</w:t>
      </w:r>
    </w:p>
    <w:p w14:paraId="138120AC" w14:textId="77777777" w:rsidR="00197D7C" w:rsidRPr="00117059" w:rsidRDefault="00197D7C" w:rsidP="00677AC0">
      <w:pPr>
        <w:spacing w:after="0" w:line="240" w:lineRule="auto"/>
        <w:jc w:val="both"/>
        <w:rPr>
          <w:rFonts w:asciiTheme="minorHAnsi" w:hAnsiTheme="minorHAnsi" w:cstheme="minorHAnsi"/>
          <w:b/>
          <w:sz w:val="24"/>
          <w:szCs w:val="24"/>
        </w:rPr>
      </w:pPr>
    </w:p>
    <w:p w14:paraId="5AA2E991" w14:textId="6D9F1B84" w:rsidR="00194B84" w:rsidRPr="00CB3E07" w:rsidRDefault="00194B84" w:rsidP="00CB3E07">
      <w:pPr>
        <w:numPr>
          <w:ilvl w:val="0"/>
          <w:numId w:val="5"/>
        </w:numPr>
        <w:pBdr>
          <w:top w:val="nil"/>
          <w:left w:val="nil"/>
          <w:bottom w:val="nil"/>
          <w:right w:val="nil"/>
          <w:between w:val="nil"/>
        </w:pBdr>
        <w:spacing w:after="0" w:line="240" w:lineRule="auto"/>
        <w:jc w:val="both"/>
        <w:rPr>
          <w:rFonts w:asciiTheme="minorHAnsi" w:hAnsiTheme="minorHAnsi" w:cstheme="minorHAnsi"/>
          <w:color w:val="000000"/>
          <w:sz w:val="24"/>
          <w:szCs w:val="24"/>
        </w:rPr>
      </w:pPr>
      <w:r w:rsidRPr="00117059">
        <w:rPr>
          <w:rFonts w:asciiTheme="minorHAnsi" w:hAnsiTheme="minorHAnsi" w:cstheme="minorHAnsi"/>
          <w:b/>
          <w:color w:val="000000"/>
          <w:sz w:val="24"/>
          <w:szCs w:val="24"/>
        </w:rPr>
        <w:t xml:space="preserve">OBJETIVO DE LA CONSULTORÍA </w:t>
      </w:r>
    </w:p>
    <w:p w14:paraId="70F8A8F0" w14:textId="7D704F7D" w:rsidR="008D0C01" w:rsidRDefault="00844DEE" w:rsidP="008D0C01">
      <w:pPr>
        <w:spacing w:after="0" w:line="240" w:lineRule="auto"/>
        <w:rPr>
          <w:rFonts w:asciiTheme="minorHAnsi" w:eastAsia="Times New Roman" w:hAnsiTheme="minorHAnsi" w:cstheme="minorHAnsi"/>
          <w:sz w:val="24"/>
          <w:szCs w:val="24"/>
        </w:rPr>
      </w:pPr>
      <w:r w:rsidRPr="00844DEE">
        <w:rPr>
          <w:rFonts w:asciiTheme="minorHAnsi" w:eastAsia="Times New Roman" w:hAnsiTheme="minorHAnsi" w:cstheme="minorHAnsi"/>
          <w:sz w:val="24"/>
          <w:szCs w:val="24"/>
        </w:rPr>
        <w:t xml:space="preserve">Contar con </w:t>
      </w:r>
      <w:r w:rsidR="003F0CC0">
        <w:rPr>
          <w:rFonts w:asciiTheme="minorHAnsi" w:eastAsia="Times New Roman" w:hAnsiTheme="minorHAnsi" w:cstheme="minorHAnsi"/>
          <w:sz w:val="24"/>
          <w:szCs w:val="24"/>
        </w:rPr>
        <w:t>2</w:t>
      </w:r>
      <w:r w:rsidRPr="00844DEE">
        <w:rPr>
          <w:rFonts w:asciiTheme="minorHAnsi" w:eastAsia="Times New Roman" w:hAnsiTheme="minorHAnsi" w:cstheme="minorHAnsi"/>
          <w:sz w:val="24"/>
          <w:szCs w:val="24"/>
        </w:rPr>
        <w:t xml:space="preserve"> Asistentes Técnicos/as para la Evaluación Cartográfica del INGEI (Inventario Nacional de Gases de Efecto Invernadero) del Sector AFOLU (Agropecuario, Silvicultura y Otros Usos de la Tierra), a ser reportado durante diciembre de 2026, en el marco de la Quinta Comunicación Nacional y el Segundo Informe Bienal de Transparencia (5NC/2BTR) del Paraguay.</w:t>
      </w:r>
    </w:p>
    <w:p w14:paraId="2973A896" w14:textId="77777777" w:rsidR="00630256" w:rsidRPr="00117059" w:rsidRDefault="00630256" w:rsidP="008D0C01">
      <w:pPr>
        <w:spacing w:after="0" w:line="240" w:lineRule="auto"/>
        <w:rPr>
          <w:rFonts w:asciiTheme="minorHAnsi" w:eastAsia="Times New Roman" w:hAnsiTheme="minorHAnsi" w:cstheme="minorHAnsi"/>
          <w:sz w:val="24"/>
          <w:szCs w:val="24"/>
        </w:rPr>
      </w:pPr>
    </w:p>
    <w:p w14:paraId="24ED8C38" w14:textId="47628725" w:rsidR="00197D7C" w:rsidRPr="005565EE" w:rsidRDefault="00194B84" w:rsidP="00677AC0">
      <w:pPr>
        <w:numPr>
          <w:ilvl w:val="0"/>
          <w:numId w:val="5"/>
        </w:numPr>
        <w:spacing w:after="0" w:line="240" w:lineRule="auto"/>
        <w:jc w:val="both"/>
        <w:rPr>
          <w:rFonts w:asciiTheme="minorHAnsi" w:hAnsiTheme="minorHAnsi" w:cstheme="minorHAnsi"/>
          <w:sz w:val="24"/>
          <w:szCs w:val="24"/>
        </w:rPr>
      </w:pPr>
      <w:r w:rsidRPr="005565EE">
        <w:rPr>
          <w:rFonts w:asciiTheme="minorHAnsi" w:hAnsiTheme="minorHAnsi" w:cstheme="minorHAnsi"/>
          <w:b/>
          <w:sz w:val="24"/>
          <w:szCs w:val="24"/>
        </w:rPr>
        <w:t>ACTIVIDADES</w:t>
      </w:r>
    </w:p>
    <w:p w14:paraId="7F2567DC" w14:textId="77777777" w:rsidR="00844DEE" w:rsidRPr="00844DEE" w:rsidRDefault="00844DEE" w:rsidP="00844DEE">
      <w:pPr>
        <w:pStyle w:val="Prrafodelista"/>
        <w:numPr>
          <w:ilvl w:val="0"/>
          <w:numId w:val="18"/>
        </w:numPr>
        <w:spacing w:after="0" w:line="240" w:lineRule="auto"/>
        <w:ind w:left="709" w:hanging="283"/>
        <w:jc w:val="both"/>
        <w:rPr>
          <w:rFonts w:asciiTheme="minorHAnsi" w:eastAsia="Times New Roman" w:hAnsiTheme="minorHAnsi" w:cstheme="minorHAnsi"/>
          <w:sz w:val="24"/>
          <w:szCs w:val="24"/>
        </w:rPr>
      </w:pPr>
      <w:r w:rsidRPr="00844DEE">
        <w:rPr>
          <w:rFonts w:asciiTheme="minorHAnsi" w:eastAsia="Times New Roman" w:hAnsiTheme="minorHAnsi" w:cstheme="minorHAnsi"/>
          <w:sz w:val="24"/>
          <w:szCs w:val="24"/>
        </w:rPr>
        <w:t>El/la Asistente Técnico/a será responsable de procesar, analizar y validar datos espaciales sobre el uso, la cobertura y los cambios de uso de la tierra en Paraguay. Su labor es fundamental para cuantificar las emisiones y absorciones de gases de efecto invernadero (GEI) del sector AFOLU, asegurando que la información cartográfica cumpla con los estándares de transparencia y exactitud requeridos por el Acuerdo de París y el 2º Informe Bienal de Transparencia (BTR).</w:t>
      </w:r>
    </w:p>
    <w:p w14:paraId="642C3D3C" w14:textId="590E6F09" w:rsidR="00E021F9" w:rsidRPr="00E021F9" w:rsidRDefault="00844DEE" w:rsidP="00844DEE">
      <w:pPr>
        <w:pStyle w:val="Prrafodelista"/>
        <w:numPr>
          <w:ilvl w:val="0"/>
          <w:numId w:val="18"/>
        </w:numPr>
        <w:spacing w:after="0" w:line="240" w:lineRule="auto"/>
        <w:ind w:left="709" w:hanging="283"/>
        <w:jc w:val="both"/>
        <w:rPr>
          <w:rFonts w:asciiTheme="minorHAnsi" w:eastAsia="Times New Roman" w:hAnsiTheme="minorHAnsi" w:cstheme="minorHAnsi"/>
          <w:sz w:val="24"/>
          <w:szCs w:val="24"/>
        </w:rPr>
      </w:pPr>
      <w:r w:rsidRPr="00844DEE">
        <w:rPr>
          <w:rFonts w:asciiTheme="minorHAnsi" w:eastAsia="Times New Roman" w:hAnsiTheme="minorHAnsi" w:cstheme="minorHAnsi"/>
          <w:sz w:val="24"/>
          <w:szCs w:val="24"/>
        </w:rPr>
        <w:t>Asimismo, será responsable de documentar las actividades desarrolladas mediante la elaboración de una Memoria Técnica Individual, en la que deberá registrar los criterios técnicos aplicados, la metodología empleada, los insumos utilizados, las decisiones metodológicas adoptadas, las dificultades encontradas, los ajustes realizados, los resultados obtenidos y las recomendaciones pertinentes, contribuyendo a la trazabilidad del proceso, al aseguramiento de la calidad (QA/QC) y a la mejora continua de la metodología empleada.</w:t>
      </w:r>
    </w:p>
    <w:p w14:paraId="13906E1D" w14:textId="77777777" w:rsidR="00197D7C" w:rsidRPr="00117059" w:rsidRDefault="004F242F" w:rsidP="00677AC0">
      <w:pPr>
        <w:numPr>
          <w:ilvl w:val="0"/>
          <w:numId w:val="5"/>
        </w:numPr>
        <w:pBdr>
          <w:top w:val="nil"/>
          <w:left w:val="nil"/>
          <w:bottom w:val="nil"/>
          <w:right w:val="nil"/>
          <w:between w:val="nil"/>
        </w:pBdr>
        <w:spacing w:after="0" w:line="240" w:lineRule="auto"/>
        <w:jc w:val="both"/>
        <w:rPr>
          <w:rFonts w:asciiTheme="minorHAnsi" w:hAnsiTheme="minorHAnsi" w:cstheme="minorHAnsi"/>
          <w:color w:val="000000"/>
          <w:sz w:val="24"/>
          <w:szCs w:val="24"/>
        </w:rPr>
      </w:pPr>
      <w:r w:rsidRPr="00117059">
        <w:rPr>
          <w:rFonts w:asciiTheme="minorHAnsi" w:hAnsiTheme="minorHAnsi" w:cstheme="minorHAnsi"/>
          <w:b/>
          <w:color w:val="000000"/>
          <w:sz w:val="24"/>
          <w:szCs w:val="24"/>
        </w:rPr>
        <w:t>PERFIL REQUERIDO</w:t>
      </w:r>
    </w:p>
    <w:p w14:paraId="543130D8" w14:textId="5B77C9CE" w:rsidR="00A6124A" w:rsidRDefault="00A6124A" w:rsidP="00AC06EE">
      <w:pPr>
        <w:pStyle w:val="Prrafodelista"/>
        <w:numPr>
          <w:ilvl w:val="0"/>
          <w:numId w:val="11"/>
        </w:numPr>
        <w:jc w:val="both"/>
        <w:rPr>
          <w:rFonts w:asciiTheme="minorHAnsi" w:hAnsiTheme="minorHAnsi" w:cstheme="minorHAnsi"/>
          <w:bCs/>
          <w:sz w:val="24"/>
          <w:szCs w:val="24"/>
          <w:lang w:val="es-PY"/>
        </w:rPr>
      </w:pPr>
      <w:r w:rsidRPr="00844DEE">
        <w:rPr>
          <w:rFonts w:asciiTheme="minorHAnsi" w:hAnsiTheme="minorHAnsi" w:cstheme="minorHAnsi"/>
          <w:bCs/>
          <w:sz w:val="24"/>
          <w:szCs w:val="24"/>
          <w:lang w:val="es-PY"/>
        </w:rPr>
        <w:t xml:space="preserve">Profesional graduado en </w:t>
      </w:r>
      <w:r w:rsidR="00844DEE" w:rsidRPr="00844DEE">
        <w:rPr>
          <w:rFonts w:asciiTheme="minorHAnsi" w:hAnsiTheme="minorHAnsi" w:cstheme="minorHAnsi"/>
          <w:bCs/>
          <w:sz w:val="24"/>
          <w:szCs w:val="24"/>
          <w:lang w:val="es-PY"/>
        </w:rPr>
        <w:t>Ingeniería Ambiental, Ingeniería Forestal, Ingeniería Agronómica, Ingeniería Geográfica o en carreras afines (Excluyente).</w:t>
      </w:r>
    </w:p>
    <w:p w14:paraId="4C6561FE" w14:textId="786F6B82" w:rsidR="00780BAE" w:rsidRPr="00780BAE" w:rsidRDefault="00780BAE" w:rsidP="00780BAE">
      <w:pPr>
        <w:pStyle w:val="Prrafodelista"/>
        <w:numPr>
          <w:ilvl w:val="0"/>
          <w:numId w:val="11"/>
        </w:numPr>
        <w:jc w:val="both"/>
        <w:rPr>
          <w:rFonts w:asciiTheme="minorHAnsi" w:hAnsiTheme="minorHAnsi" w:cstheme="minorHAnsi"/>
          <w:bCs/>
          <w:sz w:val="24"/>
          <w:szCs w:val="24"/>
          <w:lang w:val="es-PY"/>
        </w:rPr>
      </w:pPr>
      <w:r w:rsidRPr="00780BAE">
        <w:rPr>
          <w:rFonts w:asciiTheme="minorHAnsi" w:hAnsiTheme="minorHAnsi" w:cstheme="minorHAnsi"/>
          <w:bCs/>
          <w:sz w:val="24"/>
          <w:szCs w:val="24"/>
          <w:lang w:val="es-PY"/>
        </w:rPr>
        <w:t>Formación de Posgrado/Especialización: Estudios en Suelos, Sistemas de Información Geográfica (SIG), Teledetección (Remote Sensing) o Gestión Ambiental.</w:t>
      </w:r>
    </w:p>
    <w:p w14:paraId="1F8436AD" w14:textId="4B0409FA" w:rsidR="00780BAE" w:rsidRPr="00780BAE" w:rsidRDefault="00780BAE" w:rsidP="00780BAE">
      <w:pPr>
        <w:pStyle w:val="Prrafodelista"/>
        <w:numPr>
          <w:ilvl w:val="0"/>
          <w:numId w:val="11"/>
        </w:numPr>
        <w:jc w:val="both"/>
        <w:rPr>
          <w:rFonts w:asciiTheme="minorHAnsi" w:hAnsiTheme="minorHAnsi" w:cstheme="minorHAnsi"/>
          <w:bCs/>
          <w:sz w:val="24"/>
          <w:szCs w:val="24"/>
          <w:lang w:val="es-PY"/>
        </w:rPr>
      </w:pPr>
      <w:r>
        <w:rPr>
          <w:rFonts w:asciiTheme="minorHAnsi" w:hAnsiTheme="minorHAnsi" w:cstheme="minorHAnsi"/>
          <w:bCs/>
          <w:sz w:val="24"/>
          <w:szCs w:val="24"/>
          <w:lang w:val="es-PY"/>
        </w:rPr>
        <w:t>Experiencia laboral general de 3 años.</w:t>
      </w:r>
    </w:p>
    <w:p w14:paraId="13DAB591" w14:textId="4E6BB0C0" w:rsidR="00780BAE" w:rsidRPr="00780BAE" w:rsidRDefault="00780BAE" w:rsidP="00780BAE">
      <w:pPr>
        <w:pStyle w:val="Prrafodelista"/>
        <w:numPr>
          <w:ilvl w:val="0"/>
          <w:numId w:val="11"/>
        </w:numPr>
        <w:jc w:val="both"/>
        <w:rPr>
          <w:rFonts w:asciiTheme="minorHAnsi" w:hAnsiTheme="minorHAnsi" w:cstheme="minorHAnsi"/>
          <w:bCs/>
          <w:sz w:val="24"/>
          <w:szCs w:val="24"/>
          <w:lang w:val="es-PY"/>
        </w:rPr>
      </w:pPr>
      <w:r>
        <w:rPr>
          <w:rFonts w:asciiTheme="minorHAnsi" w:hAnsiTheme="minorHAnsi" w:cstheme="minorHAnsi"/>
          <w:bCs/>
          <w:sz w:val="24"/>
          <w:szCs w:val="24"/>
          <w:lang w:val="es-PY"/>
        </w:rPr>
        <w:t>E</w:t>
      </w:r>
      <w:r w:rsidRPr="00780BAE">
        <w:rPr>
          <w:rFonts w:asciiTheme="minorHAnsi" w:hAnsiTheme="minorHAnsi" w:cstheme="minorHAnsi"/>
          <w:bCs/>
          <w:sz w:val="24"/>
          <w:szCs w:val="24"/>
          <w:lang w:val="es-PY"/>
        </w:rPr>
        <w:t xml:space="preserve">xperiencias laborales de al menos </w:t>
      </w:r>
      <w:r>
        <w:rPr>
          <w:rFonts w:asciiTheme="minorHAnsi" w:hAnsiTheme="minorHAnsi" w:cstheme="minorHAnsi"/>
          <w:bCs/>
          <w:sz w:val="24"/>
          <w:szCs w:val="24"/>
          <w:lang w:val="es-PY"/>
        </w:rPr>
        <w:t>2</w:t>
      </w:r>
      <w:r w:rsidRPr="00780BAE">
        <w:rPr>
          <w:rFonts w:asciiTheme="minorHAnsi" w:hAnsiTheme="minorHAnsi" w:cstheme="minorHAnsi"/>
          <w:bCs/>
          <w:sz w:val="24"/>
          <w:szCs w:val="24"/>
          <w:lang w:val="es-PY"/>
        </w:rPr>
        <w:t xml:space="preserve"> años en proyectos de interpretación visual (fotointerpretación), validación cartográfica, clasificación de la cobertura terrestre o elaboración de inventarios ambientales mediante Sistemas de Información Geográfica y Teledetección. </w:t>
      </w:r>
    </w:p>
    <w:p w14:paraId="405F7FBD" w14:textId="02B5CF34" w:rsidR="00780BAE" w:rsidRDefault="00780BAE" w:rsidP="00780BAE">
      <w:pPr>
        <w:pStyle w:val="Prrafodelista"/>
        <w:numPr>
          <w:ilvl w:val="0"/>
          <w:numId w:val="11"/>
        </w:numPr>
        <w:jc w:val="both"/>
        <w:rPr>
          <w:rFonts w:asciiTheme="minorHAnsi" w:hAnsiTheme="minorHAnsi" w:cstheme="minorHAnsi"/>
          <w:bCs/>
          <w:sz w:val="24"/>
          <w:szCs w:val="24"/>
          <w:lang w:val="es-PY"/>
        </w:rPr>
      </w:pPr>
      <w:r w:rsidRPr="00780BAE">
        <w:rPr>
          <w:rFonts w:asciiTheme="minorHAnsi" w:hAnsiTheme="minorHAnsi" w:cstheme="minorHAnsi"/>
          <w:bCs/>
          <w:sz w:val="24"/>
          <w:szCs w:val="24"/>
          <w:lang w:val="es-PY"/>
        </w:rPr>
        <w:t>Manejo avanzado de software SIG (QGIS, ArcGIS, Google Earth Engine).</w:t>
      </w:r>
    </w:p>
    <w:p w14:paraId="58A860FD" w14:textId="77E5F41B" w:rsidR="0055016A" w:rsidRPr="0055016A" w:rsidRDefault="0055016A" w:rsidP="0055016A">
      <w:pPr>
        <w:pStyle w:val="Prrafodelista"/>
        <w:numPr>
          <w:ilvl w:val="0"/>
          <w:numId w:val="11"/>
        </w:numPr>
        <w:jc w:val="both"/>
        <w:rPr>
          <w:rFonts w:asciiTheme="minorHAnsi" w:hAnsiTheme="minorHAnsi" w:cstheme="minorHAnsi"/>
          <w:bCs/>
          <w:sz w:val="24"/>
          <w:szCs w:val="24"/>
          <w:lang w:val="es-PY"/>
        </w:rPr>
      </w:pPr>
      <w:r w:rsidRPr="00780BAE">
        <w:rPr>
          <w:rFonts w:asciiTheme="minorHAnsi" w:hAnsiTheme="minorHAnsi" w:cstheme="minorHAnsi"/>
          <w:bCs/>
          <w:sz w:val="24"/>
          <w:szCs w:val="24"/>
          <w:lang w:val="es-PY"/>
        </w:rPr>
        <w:t>Conocimiento de estándares internacionales para la evaluación de la calidad de datos espaciales, especialmente la norma ISO 19157.</w:t>
      </w:r>
    </w:p>
    <w:p w14:paraId="4A120E2E" w14:textId="143CB484" w:rsidR="0055016A" w:rsidRPr="0055016A" w:rsidRDefault="00780BAE" w:rsidP="0055016A">
      <w:pPr>
        <w:pStyle w:val="Prrafodelista"/>
        <w:numPr>
          <w:ilvl w:val="0"/>
          <w:numId w:val="11"/>
        </w:numPr>
        <w:jc w:val="both"/>
        <w:rPr>
          <w:rFonts w:asciiTheme="minorHAnsi" w:hAnsiTheme="minorHAnsi" w:cstheme="minorHAnsi"/>
          <w:bCs/>
          <w:sz w:val="24"/>
          <w:szCs w:val="24"/>
          <w:lang w:val="es-PY"/>
        </w:rPr>
      </w:pPr>
      <w:r w:rsidRPr="00780BAE">
        <w:rPr>
          <w:rFonts w:asciiTheme="minorHAnsi" w:hAnsiTheme="minorHAnsi" w:cstheme="minorHAnsi"/>
          <w:bCs/>
          <w:sz w:val="24"/>
          <w:szCs w:val="24"/>
          <w:lang w:val="es-PY"/>
        </w:rPr>
        <w:t xml:space="preserve">Conocimiento de las Directrices del IPCC de 2006 para los inventarios nacionales de GEI. </w:t>
      </w:r>
    </w:p>
    <w:p w14:paraId="72E28464" w14:textId="7104C6BC" w:rsidR="00780BAE" w:rsidRPr="00780BAE" w:rsidRDefault="00780BAE" w:rsidP="00780BAE">
      <w:pPr>
        <w:pStyle w:val="Prrafodelista"/>
        <w:numPr>
          <w:ilvl w:val="0"/>
          <w:numId w:val="11"/>
        </w:numPr>
        <w:rPr>
          <w:rFonts w:asciiTheme="minorHAnsi" w:hAnsiTheme="minorHAnsi" w:cstheme="minorHAnsi"/>
          <w:bCs/>
          <w:sz w:val="24"/>
          <w:szCs w:val="24"/>
          <w:lang w:val="es-PY"/>
        </w:rPr>
      </w:pPr>
      <w:r>
        <w:rPr>
          <w:rFonts w:asciiTheme="minorHAnsi" w:hAnsiTheme="minorHAnsi" w:cstheme="minorHAnsi"/>
          <w:bCs/>
          <w:sz w:val="24"/>
          <w:szCs w:val="24"/>
          <w:lang w:val="es-PY"/>
        </w:rPr>
        <w:t>M</w:t>
      </w:r>
      <w:r w:rsidRPr="00780BAE">
        <w:rPr>
          <w:rFonts w:asciiTheme="minorHAnsi" w:hAnsiTheme="minorHAnsi" w:cstheme="minorHAnsi"/>
          <w:bCs/>
          <w:sz w:val="24"/>
          <w:szCs w:val="24"/>
          <w:lang w:val="es-PY"/>
        </w:rPr>
        <w:t>anejo técnico de inglés (para lectura de manuales del IPCC y software).</w:t>
      </w:r>
    </w:p>
    <w:p w14:paraId="31A53F0A" w14:textId="77777777" w:rsidR="00780BAE" w:rsidRPr="00780BAE" w:rsidRDefault="00780BAE" w:rsidP="00780BAE">
      <w:pPr>
        <w:pStyle w:val="Prrafodelista"/>
        <w:ind w:left="360"/>
        <w:rPr>
          <w:rFonts w:asciiTheme="minorHAnsi" w:hAnsiTheme="minorHAnsi" w:cstheme="minorHAnsi"/>
          <w:b/>
          <w:sz w:val="24"/>
          <w:szCs w:val="24"/>
          <w:lang w:val="es-PY"/>
        </w:rPr>
      </w:pPr>
    </w:p>
    <w:p w14:paraId="435A8A8F" w14:textId="59DA957A" w:rsidR="00EB608E" w:rsidRPr="00EB608E" w:rsidRDefault="00EB608E" w:rsidP="00EB608E">
      <w:pPr>
        <w:pStyle w:val="Prrafodelista"/>
        <w:numPr>
          <w:ilvl w:val="0"/>
          <w:numId w:val="5"/>
        </w:numPr>
        <w:rPr>
          <w:rFonts w:asciiTheme="minorHAnsi" w:hAnsiTheme="minorHAnsi" w:cstheme="minorHAnsi"/>
          <w:b/>
          <w:sz w:val="24"/>
          <w:szCs w:val="24"/>
          <w:lang w:val="es-PY"/>
        </w:rPr>
      </w:pPr>
      <w:r w:rsidRPr="00EB608E">
        <w:rPr>
          <w:rFonts w:asciiTheme="minorHAnsi" w:hAnsiTheme="minorHAnsi" w:cstheme="minorHAnsi"/>
          <w:b/>
          <w:sz w:val="24"/>
          <w:szCs w:val="24"/>
          <w:lang w:val="es-PY"/>
        </w:rPr>
        <w:t>COMPETENCIAS TÉCNICAS (Deseable)</w:t>
      </w:r>
    </w:p>
    <w:p w14:paraId="1D22B561" w14:textId="77777777" w:rsidR="00780BAE" w:rsidRPr="00780BAE" w:rsidRDefault="00780BAE" w:rsidP="00780BAE">
      <w:pPr>
        <w:pStyle w:val="Prrafodelista"/>
        <w:numPr>
          <w:ilvl w:val="0"/>
          <w:numId w:val="11"/>
        </w:numPr>
        <w:jc w:val="both"/>
        <w:rPr>
          <w:rFonts w:asciiTheme="minorHAnsi" w:hAnsiTheme="minorHAnsi" w:cstheme="minorHAnsi"/>
          <w:bCs/>
          <w:sz w:val="24"/>
          <w:szCs w:val="24"/>
          <w:lang w:val="es-PY"/>
        </w:rPr>
      </w:pPr>
      <w:r w:rsidRPr="00780BAE">
        <w:rPr>
          <w:rFonts w:asciiTheme="minorHAnsi" w:hAnsiTheme="minorHAnsi" w:cstheme="minorHAnsi"/>
          <w:bCs/>
          <w:sz w:val="24"/>
          <w:szCs w:val="24"/>
          <w:lang w:val="es-PY"/>
        </w:rPr>
        <w:t>Análisis Espacial y Teledetección: Capacidad para identificar, descargar y procesar imágenes satelitales (Landsat, Sentinel) y realizar clasificaciones de cobertura del suelo y la detección de cambios.</w:t>
      </w:r>
    </w:p>
    <w:p w14:paraId="57951A30" w14:textId="77777777" w:rsidR="00780BAE" w:rsidRPr="00780BAE" w:rsidRDefault="00780BAE" w:rsidP="00780BAE">
      <w:pPr>
        <w:pStyle w:val="Prrafodelista"/>
        <w:numPr>
          <w:ilvl w:val="0"/>
          <w:numId w:val="11"/>
        </w:numPr>
        <w:jc w:val="both"/>
        <w:rPr>
          <w:rFonts w:asciiTheme="minorHAnsi" w:hAnsiTheme="minorHAnsi" w:cstheme="minorHAnsi"/>
          <w:bCs/>
          <w:sz w:val="24"/>
          <w:szCs w:val="24"/>
          <w:lang w:val="es-PY"/>
        </w:rPr>
      </w:pPr>
      <w:r w:rsidRPr="00780BAE">
        <w:rPr>
          <w:rFonts w:asciiTheme="minorHAnsi" w:hAnsiTheme="minorHAnsi" w:cstheme="minorHAnsi"/>
          <w:bCs/>
          <w:sz w:val="24"/>
          <w:szCs w:val="24"/>
          <w:lang w:val="es-PY"/>
        </w:rPr>
        <w:t>Gestión de Bases de Datos: Habilidad para organizar y depurar grandes volúmenes de datos geoespaciales y alfanuméricos.</w:t>
      </w:r>
    </w:p>
    <w:p w14:paraId="0E1A7603" w14:textId="77777777" w:rsidR="00780BAE" w:rsidRPr="00780BAE" w:rsidRDefault="00780BAE" w:rsidP="00780BAE">
      <w:pPr>
        <w:pStyle w:val="Prrafodelista"/>
        <w:numPr>
          <w:ilvl w:val="0"/>
          <w:numId w:val="11"/>
        </w:numPr>
        <w:jc w:val="both"/>
        <w:rPr>
          <w:rFonts w:asciiTheme="minorHAnsi" w:hAnsiTheme="minorHAnsi" w:cstheme="minorHAnsi"/>
          <w:bCs/>
          <w:sz w:val="24"/>
          <w:szCs w:val="24"/>
          <w:lang w:val="es-PY"/>
        </w:rPr>
      </w:pPr>
      <w:r w:rsidRPr="00780BAE">
        <w:rPr>
          <w:rFonts w:asciiTheme="minorHAnsi" w:hAnsiTheme="minorHAnsi" w:cstheme="minorHAnsi"/>
          <w:bCs/>
          <w:sz w:val="24"/>
          <w:szCs w:val="24"/>
          <w:lang w:val="es-PY"/>
        </w:rPr>
        <w:t>Evaluación de Exactitud: Competencia en la aplicación de protocolos de control y de aseguramiento de la calidad (QA/QC) en productos cartográficos.</w:t>
      </w:r>
    </w:p>
    <w:p w14:paraId="282E0B03" w14:textId="77777777" w:rsidR="00780BAE" w:rsidRPr="00780BAE" w:rsidRDefault="00780BAE" w:rsidP="00780BAE">
      <w:pPr>
        <w:pStyle w:val="Prrafodelista"/>
        <w:numPr>
          <w:ilvl w:val="0"/>
          <w:numId w:val="11"/>
        </w:numPr>
        <w:jc w:val="both"/>
        <w:rPr>
          <w:rFonts w:asciiTheme="minorHAnsi" w:hAnsiTheme="minorHAnsi" w:cstheme="minorHAnsi"/>
          <w:bCs/>
          <w:sz w:val="24"/>
          <w:szCs w:val="24"/>
          <w:lang w:val="es-PY"/>
        </w:rPr>
      </w:pPr>
      <w:r w:rsidRPr="00780BAE">
        <w:rPr>
          <w:rFonts w:asciiTheme="minorHAnsi" w:hAnsiTheme="minorHAnsi" w:cstheme="minorHAnsi"/>
          <w:bCs/>
          <w:sz w:val="24"/>
          <w:szCs w:val="24"/>
          <w:lang w:val="es-PY"/>
        </w:rPr>
        <w:t>Interpretación de Categorías AFOLU: Capacidad para distinguir técnicamente entre las categorías de uso de la tierra (Tierras Forestales, Cultivos, Pastizales, Humedales, Asentamientos y Otras Tierras) según los criterios del INGEI.</w:t>
      </w:r>
    </w:p>
    <w:p w14:paraId="0969353B" w14:textId="77777777" w:rsidR="00780BAE" w:rsidRPr="00780BAE" w:rsidRDefault="00780BAE" w:rsidP="00780BAE">
      <w:pPr>
        <w:pStyle w:val="Prrafodelista"/>
        <w:numPr>
          <w:ilvl w:val="0"/>
          <w:numId w:val="11"/>
        </w:numPr>
        <w:jc w:val="both"/>
        <w:rPr>
          <w:rFonts w:asciiTheme="minorHAnsi" w:hAnsiTheme="minorHAnsi" w:cstheme="minorHAnsi"/>
          <w:bCs/>
          <w:sz w:val="24"/>
          <w:szCs w:val="24"/>
          <w:lang w:val="es-PY"/>
        </w:rPr>
      </w:pPr>
      <w:r w:rsidRPr="00780BAE">
        <w:rPr>
          <w:rFonts w:asciiTheme="minorHAnsi" w:hAnsiTheme="minorHAnsi" w:cstheme="minorHAnsi"/>
          <w:bCs/>
          <w:sz w:val="24"/>
          <w:szCs w:val="24"/>
          <w:lang w:val="es-PY"/>
        </w:rPr>
        <w:t>Fotointerpretación y Validación Cartográfica: Capacidad para realizar la interpretación visual y validación de coberturas y usos de la tierra conforme a protocolos técnicos establecidos para el Inventario Nacional de Gases de Efecto Invernadero (INGEI).</w:t>
      </w:r>
    </w:p>
    <w:p w14:paraId="242BC252" w14:textId="77777777" w:rsidR="00780BAE" w:rsidRPr="00780BAE" w:rsidRDefault="00780BAE" w:rsidP="00780BAE">
      <w:pPr>
        <w:pStyle w:val="Prrafodelista"/>
        <w:numPr>
          <w:ilvl w:val="0"/>
          <w:numId w:val="11"/>
        </w:numPr>
        <w:jc w:val="both"/>
        <w:rPr>
          <w:rFonts w:asciiTheme="minorHAnsi" w:hAnsiTheme="minorHAnsi" w:cstheme="minorHAnsi"/>
          <w:bCs/>
          <w:sz w:val="24"/>
          <w:szCs w:val="24"/>
          <w:lang w:val="es-PY"/>
        </w:rPr>
      </w:pPr>
      <w:r w:rsidRPr="00780BAE">
        <w:rPr>
          <w:rFonts w:asciiTheme="minorHAnsi" w:hAnsiTheme="minorHAnsi" w:cstheme="minorHAnsi"/>
          <w:bCs/>
          <w:sz w:val="24"/>
          <w:szCs w:val="24"/>
          <w:lang w:val="es-PY"/>
        </w:rPr>
        <w:t>Gestión de Bases de Datos Espaciales: Capacidad para administrar, organizar y mantener bases de datos geoespaciales utilizando formatos como GeoPackage, File Geodatabase (GDB) o PostGIS, garantizando la integridad y consistencia de la información.</w:t>
      </w:r>
    </w:p>
    <w:p w14:paraId="3DCA8BDF" w14:textId="77777777" w:rsidR="00780BAE" w:rsidRPr="00780BAE" w:rsidRDefault="00780BAE" w:rsidP="00780BAE">
      <w:pPr>
        <w:pStyle w:val="Prrafodelista"/>
        <w:numPr>
          <w:ilvl w:val="0"/>
          <w:numId w:val="11"/>
        </w:numPr>
        <w:jc w:val="both"/>
        <w:rPr>
          <w:rFonts w:asciiTheme="minorHAnsi" w:hAnsiTheme="minorHAnsi" w:cstheme="minorHAnsi"/>
          <w:bCs/>
          <w:sz w:val="24"/>
          <w:szCs w:val="24"/>
          <w:lang w:val="es-PY"/>
        </w:rPr>
      </w:pPr>
      <w:r w:rsidRPr="00780BAE">
        <w:rPr>
          <w:rFonts w:asciiTheme="minorHAnsi" w:hAnsiTheme="minorHAnsi" w:cstheme="minorHAnsi"/>
          <w:bCs/>
          <w:sz w:val="24"/>
          <w:szCs w:val="24"/>
          <w:lang w:val="es-PY"/>
        </w:rPr>
        <w:t>Normas de Calidad de la Información Geográfica: Conocimiento y aplicación de estándares internacionales para la evaluación de la calidad de datos espaciales, especialmente la norma ISO 19157.</w:t>
      </w:r>
    </w:p>
    <w:p w14:paraId="1E64B9D0" w14:textId="77777777" w:rsidR="00780BAE" w:rsidRPr="00780BAE" w:rsidRDefault="00780BAE" w:rsidP="00780BAE">
      <w:pPr>
        <w:pStyle w:val="Prrafodelista"/>
        <w:numPr>
          <w:ilvl w:val="0"/>
          <w:numId w:val="11"/>
        </w:numPr>
        <w:jc w:val="both"/>
        <w:rPr>
          <w:rFonts w:asciiTheme="minorHAnsi" w:hAnsiTheme="minorHAnsi" w:cstheme="minorHAnsi"/>
          <w:bCs/>
          <w:sz w:val="24"/>
          <w:szCs w:val="24"/>
          <w:lang w:val="es-PY"/>
        </w:rPr>
      </w:pPr>
      <w:r w:rsidRPr="00780BAE">
        <w:rPr>
          <w:rFonts w:asciiTheme="minorHAnsi" w:hAnsiTheme="minorHAnsi" w:cstheme="minorHAnsi"/>
          <w:bCs/>
          <w:sz w:val="24"/>
          <w:szCs w:val="24"/>
          <w:lang w:val="es-PY"/>
        </w:rPr>
        <w:t>Control de Calidad Cartográfica: Experiencia en la ejecución de procesos de aseguramiento y control de calidad (QA/QC) de productos cartográficos, incluyendo la identificación, documentación y corrección de inconsistencias técnicas.</w:t>
      </w:r>
    </w:p>
    <w:p w14:paraId="642D4954" w14:textId="722DE9BB" w:rsidR="00475692" w:rsidRDefault="00780BAE" w:rsidP="00780BAE">
      <w:pPr>
        <w:pStyle w:val="Prrafodelista"/>
        <w:numPr>
          <w:ilvl w:val="0"/>
          <w:numId w:val="11"/>
        </w:numPr>
        <w:jc w:val="both"/>
        <w:rPr>
          <w:rFonts w:asciiTheme="minorHAnsi" w:hAnsiTheme="minorHAnsi" w:cstheme="minorHAnsi"/>
          <w:bCs/>
          <w:sz w:val="24"/>
          <w:szCs w:val="24"/>
          <w:lang w:val="es-PY"/>
        </w:rPr>
      </w:pPr>
      <w:r w:rsidRPr="00780BAE">
        <w:rPr>
          <w:rFonts w:asciiTheme="minorHAnsi" w:hAnsiTheme="minorHAnsi" w:cstheme="minorHAnsi"/>
          <w:bCs/>
          <w:sz w:val="24"/>
          <w:szCs w:val="24"/>
          <w:lang w:val="es-PY"/>
        </w:rPr>
        <w:t>Documentación Técnica y Trazabilidad: Capacidad para elaborar memorias técnicas y documentación metodológica clara, completa y reproducible, registrando los criterios utilizados, las decisiones adoptadas, los controles de calidad realizados y las recomendaciones de mejora.</w:t>
      </w:r>
    </w:p>
    <w:p w14:paraId="1B439825" w14:textId="78375B49" w:rsidR="00A13339" w:rsidRPr="001B7161" w:rsidRDefault="00A13339" w:rsidP="001B7161">
      <w:pPr>
        <w:pStyle w:val="Prrafodelista"/>
        <w:numPr>
          <w:ilvl w:val="0"/>
          <w:numId w:val="11"/>
        </w:numPr>
        <w:jc w:val="both"/>
        <w:rPr>
          <w:rFonts w:asciiTheme="minorHAnsi" w:hAnsiTheme="minorHAnsi" w:cstheme="minorHAnsi"/>
          <w:bCs/>
          <w:sz w:val="24"/>
          <w:szCs w:val="24"/>
          <w:lang w:val="es-PY"/>
        </w:rPr>
      </w:pPr>
      <w:r w:rsidRPr="00780BAE">
        <w:rPr>
          <w:rFonts w:asciiTheme="minorHAnsi" w:hAnsiTheme="minorHAnsi" w:cstheme="minorHAnsi"/>
          <w:bCs/>
          <w:sz w:val="24"/>
          <w:szCs w:val="24"/>
          <w:lang w:val="es-PY"/>
        </w:rPr>
        <w:t>Familiaridad/conocimiento del con el marco normativo ambiental del Paraguay y con la Ley N° 5875/17 de Cambio Climático.</w:t>
      </w:r>
    </w:p>
    <w:p w14:paraId="6EF95B25" w14:textId="4FA7D1F9" w:rsidR="00BA4E9C" w:rsidRPr="00CB3E07" w:rsidRDefault="004F242F" w:rsidP="00BA4E9C">
      <w:pPr>
        <w:numPr>
          <w:ilvl w:val="0"/>
          <w:numId w:val="5"/>
        </w:numPr>
        <w:pBdr>
          <w:top w:val="nil"/>
          <w:left w:val="nil"/>
          <w:bottom w:val="nil"/>
          <w:right w:val="nil"/>
          <w:between w:val="nil"/>
        </w:pBdr>
        <w:spacing w:after="0" w:line="240" w:lineRule="auto"/>
        <w:jc w:val="both"/>
        <w:rPr>
          <w:rFonts w:asciiTheme="minorHAnsi" w:hAnsiTheme="minorHAnsi" w:cstheme="minorHAnsi"/>
          <w:b/>
          <w:color w:val="000000"/>
          <w:sz w:val="24"/>
          <w:szCs w:val="24"/>
        </w:rPr>
      </w:pPr>
      <w:r w:rsidRPr="00117059">
        <w:rPr>
          <w:rFonts w:asciiTheme="minorHAnsi" w:hAnsiTheme="minorHAnsi" w:cstheme="minorHAnsi"/>
          <w:color w:val="000000"/>
          <w:sz w:val="24"/>
          <w:szCs w:val="24"/>
        </w:rPr>
        <w:t xml:space="preserve"> </w:t>
      </w:r>
      <w:r w:rsidRPr="00117059">
        <w:rPr>
          <w:rFonts w:asciiTheme="minorHAnsi" w:hAnsiTheme="minorHAnsi" w:cstheme="minorHAnsi"/>
          <w:b/>
          <w:color w:val="000000"/>
          <w:sz w:val="24"/>
          <w:szCs w:val="24"/>
        </w:rPr>
        <w:t>FORMA DE CONTRATACIÓN Y CARÁCTER DEL CONTRATO</w:t>
      </w:r>
    </w:p>
    <w:p w14:paraId="7F34F9AF" w14:textId="7638F96B" w:rsidR="00181A1E" w:rsidRPr="00117059" w:rsidRDefault="00853C4F" w:rsidP="00677AC0">
      <w:pPr>
        <w:spacing w:after="0" w:line="240" w:lineRule="auto"/>
        <w:jc w:val="both"/>
        <w:rPr>
          <w:rFonts w:asciiTheme="minorHAnsi" w:hAnsiTheme="minorHAnsi" w:cstheme="minorHAnsi"/>
          <w:sz w:val="24"/>
          <w:szCs w:val="24"/>
        </w:rPr>
      </w:pPr>
      <w:r w:rsidRPr="00117059">
        <w:rPr>
          <w:rFonts w:asciiTheme="minorHAnsi" w:hAnsiTheme="minorHAnsi" w:cstheme="minorHAnsi"/>
          <w:sz w:val="24"/>
          <w:szCs w:val="24"/>
        </w:rPr>
        <w:t xml:space="preserve">La modalidad de contratación es a tiempo completo </w:t>
      </w:r>
      <w:r w:rsidR="001A3B7D">
        <w:rPr>
          <w:rFonts w:asciiTheme="minorHAnsi" w:hAnsiTheme="minorHAnsi" w:cstheme="minorHAnsi"/>
          <w:sz w:val="24"/>
          <w:szCs w:val="24"/>
        </w:rPr>
        <w:t>modalidad mixta (presencial y remota)</w:t>
      </w:r>
    </w:p>
    <w:p w14:paraId="4E354CDF" w14:textId="6D56F3E9" w:rsidR="00B256F2" w:rsidRPr="00117059" w:rsidRDefault="004F242F" w:rsidP="00677AC0">
      <w:pPr>
        <w:spacing w:after="0" w:line="240" w:lineRule="auto"/>
        <w:jc w:val="both"/>
        <w:rPr>
          <w:rFonts w:asciiTheme="minorHAnsi" w:eastAsia="Times New Roman" w:hAnsiTheme="minorHAnsi" w:cstheme="minorHAnsi"/>
          <w:sz w:val="24"/>
          <w:szCs w:val="24"/>
        </w:rPr>
      </w:pPr>
      <w:r w:rsidRPr="00117059">
        <w:rPr>
          <w:rFonts w:asciiTheme="minorHAnsi" w:hAnsiTheme="minorHAnsi" w:cstheme="minorHAnsi"/>
          <w:sz w:val="24"/>
          <w:szCs w:val="24"/>
        </w:rPr>
        <w:t xml:space="preserve">El contratado/a </w:t>
      </w:r>
      <w:r w:rsidR="00485A6C" w:rsidRPr="00117059">
        <w:rPr>
          <w:rFonts w:asciiTheme="minorHAnsi" w:hAnsiTheme="minorHAnsi" w:cstheme="minorHAnsi"/>
          <w:sz w:val="24"/>
          <w:szCs w:val="24"/>
        </w:rPr>
        <w:t xml:space="preserve">trabajará bajo la </w:t>
      </w:r>
      <w:r w:rsidR="00B256F2" w:rsidRPr="00117059">
        <w:rPr>
          <w:rFonts w:asciiTheme="minorHAnsi" w:eastAsia="Times New Roman" w:hAnsiTheme="minorHAnsi" w:cstheme="minorHAnsi"/>
          <w:sz w:val="24"/>
          <w:szCs w:val="24"/>
        </w:rPr>
        <w:t>coordinación de</w:t>
      </w:r>
      <w:r w:rsidR="001A3B7D">
        <w:rPr>
          <w:rFonts w:asciiTheme="minorHAnsi" w:eastAsia="Times New Roman" w:hAnsiTheme="minorHAnsi" w:cstheme="minorHAnsi"/>
          <w:sz w:val="24"/>
          <w:szCs w:val="24"/>
        </w:rPr>
        <w:t>l equipo de GEOLab de la Agencia Espacial del Paraguay (AEP) y el MADES (Dirección de Geomática, Dirección Nacional de Cambio Climático y Dirección de Tecnología de la Información y la Comunicación)</w:t>
      </w:r>
      <w:r w:rsidR="00B256F2" w:rsidRPr="00117059">
        <w:rPr>
          <w:rFonts w:asciiTheme="minorHAnsi" w:eastAsia="Times New Roman" w:hAnsiTheme="minorHAnsi" w:cstheme="minorHAnsi"/>
          <w:sz w:val="24"/>
          <w:szCs w:val="24"/>
        </w:rPr>
        <w:t>.</w:t>
      </w:r>
      <w:r w:rsidR="00FA4C06" w:rsidRPr="00117059">
        <w:rPr>
          <w:rFonts w:asciiTheme="minorHAnsi" w:eastAsia="Times New Roman" w:hAnsiTheme="minorHAnsi" w:cstheme="minorHAnsi"/>
          <w:sz w:val="24"/>
          <w:szCs w:val="24"/>
        </w:rPr>
        <w:t xml:space="preserve"> </w:t>
      </w:r>
      <w:r w:rsidR="00AF574E">
        <w:rPr>
          <w:rFonts w:asciiTheme="minorHAnsi" w:eastAsia="Times New Roman" w:hAnsiTheme="minorHAnsi" w:cstheme="minorHAnsi"/>
          <w:sz w:val="24"/>
          <w:szCs w:val="24"/>
        </w:rPr>
        <w:t>El contratado deberá cumplir</w:t>
      </w:r>
      <w:r w:rsidR="001B7161">
        <w:rPr>
          <w:rFonts w:asciiTheme="minorHAnsi" w:eastAsia="Times New Roman" w:hAnsiTheme="minorHAnsi" w:cstheme="minorHAnsi"/>
          <w:sz w:val="24"/>
          <w:szCs w:val="24"/>
        </w:rPr>
        <w:t xml:space="preserve"> funciones presenciales los primeros 15 días en las instalaciones de la Dirección de Geomática (MADES) a fin de acordar las metodologías de trabajo a ser implementadas, posteriormente deberá cumplir funciones en la Agencia Espacial del Paraguay (AEP). </w:t>
      </w:r>
      <w:r w:rsidR="00FA4C06" w:rsidRPr="00117059">
        <w:rPr>
          <w:rFonts w:asciiTheme="minorHAnsi" w:eastAsia="Times New Roman" w:hAnsiTheme="minorHAnsi" w:cstheme="minorHAnsi"/>
          <w:sz w:val="24"/>
          <w:szCs w:val="24"/>
        </w:rPr>
        <w:t xml:space="preserve">El contratado deberá contar con equipos </w:t>
      </w:r>
      <w:r w:rsidR="00F018B5" w:rsidRPr="00117059">
        <w:rPr>
          <w:rFonts w:asciiTheme="minorHAnsi" w:eastAsia="Times New Roman" w:hAnsiTheme="minorHAnsi" w:cstheme="minorHAnsi"/>
          <w:sz w:val="24"/>
          <w:szCs w:val="24"/>
        </w:rPr>
        <w:t>informáticos para el desarrollo de los Productos.</w:t>
      </w:r>
    </w:p>
    <w:p w14:paraId="0F862311" w14:textId="77777777" w:rsidR="00792A5A" w:rsidRPr="00117059" w:rsidRDefault="00792A5A" w:rsidP="00677AC0">
      <w:pPr>
        <w:spacing w:after="0" w:line="240" w:lineRule="auto"/>
        <w:jc w:val="both"/>
        <w:rPr>
          <w:rFonts w:asciiTheme="minorHAnsi" w:hAnsiTheme="minorHAnsi" w:cstheme="minorHAnsi"/>
          <w:sz w:val="24"/>
          <w:szCs w:val="24"/>
        </w:rPr>
      </w:pPr>
    </w:p>
    <w:p w14:paraId="3EB3DD5C" w14:textId="77777777" w:rsidR="00197D7C" w:rsidRPr="00117059" w:rsidRDefault="004F242F" w:rsidP="008B5B54">
      <w:pPr>
        <w:numPr>
          <w:ilvl w:val="0"/>
          <w:numId w:val="5"/>
        </w:numPr>
        <w:pBdr>
          <w:top w:val="nil"/>
          <w:left w:val="nil"/>
          <w:bottom w:val="nil"/>
          <w:right w:val="nil"/>
          <w:between w:val="nil"/>
        </w:pBdr>
        <w:spacing w:after="0" w:line="240" w:lineRule="auto"/>
        <w:jc w:val="both"/>
        <w:rPr>
          <w:rFonts w:asciiTheme="minorHAnsi" w:hAnsiTheme="minorHAnsi" w:cstheme="minorHAnsi"/>
          <w:color w:val="000000"/>
          <w:sz w:val="24"/>
          <w:szCs w:val="24"/>
        </w:rPr>
      </w:pPr>
      <w:r w:rsidRPr="00117059">
        <w:rPr>
          <w:rFonts w:asciiTheme="minorHAnsi" w:hAnsiTheme="minorHAnsi" w:cstheme="minorHAnsi"/>
          <w:b/>
          <w:color w:val="000000"/>
          <w:sz w:val="24"/>
          <w:szCs w:val="24"/>
        </w:rPr>
        <w:t>REMUNERACION Y FORMA DE PAGO</w:t>
      </w:r>
    </w:p>
    <w:p w14:paraId="6A2C81A2" w14:textId="48AF844C" w:rsidR="00D1409B" w:rsidRDefault="004F242F" w:rsidP="00677AC0">
      <w:pPr>
        <w:spacing w:after="0" w:line="240" w:lineRule="auto"/>
        <w:jc w:val="both"/>
        <w:rPr>
          <w:rFonts w:asciiTheme="minorHAnsi" w:hAnsiTheme="minorHAnsi" w:cstheme="minorHAnsi"/>
          <w:sz w:val="24"/>
          <w:szCs w:val="24"/>
        </w:rPr>
      </w:pPr>
      <w:r w:rsidRPr="00117059">
        <w:rPr>
          <w:rFonts w:asciiTheme="minorHAnsi" w:hAnsiTheme="minorHAnsi" w:cstheme="minorHAnsi"/>
          <w:sz w:val="24"/>
          <w:szCs w:val="24"/>
        </w:rPr>
        <w:t>La remuneración asignada para el cargo de</w:t>
      </w:r>
      <w:r w:rsidR="001A3B7D">
        <w:rPr>
          <w:rFonts w:asciiTheme="minorHAnsi" w:hAnsiTheme="minorHAnsi" w:cstheme="minorHAnsi"/>
          <w:sz w:val="24"/>
          <w:szCs w:val="24"/>
        </w:rPr>
        <w:t xml:space="preserve"> </w:t>
      </w:r>
      <w:r w:rsidR="00630256" w:rsidRPr="00630256">
        <w:rPr>
          <w:sz w:val="24"/>
          <w:szCs w:val="24"/>
        </w:rPr>
        <w:t>Asistente Técnico/a para la Evaluación de Mapas del Sector AFOLU (Agropecuario, Silvicultura y Otros Usos de la Tierra) para el 2º BTR (Informe Bienal de Transparencia) del Paraguay</w:t>
      </w:r>
      <w:r w:rsidR="00630256" w:rsidRPr="00117059">
        <w:rPr>
          <w:rFonts w:asciiTheme="minorHAnsi" w:hAnsiTheme="minorHAnsi" w:cstheme="minorHAnsi"/>
          <w:sz w:val="24"/>
          <w:szCs w:val="24"/>
        </w:rPr>
        <w:t xml:space="preserve"> </w:t>
      </w:r>
      <w:r w:rsidRPr="00117059">
        <w:rPr>
          <w:rFonts w:asciiTheme="minorHAnsi" w:hAnsiTheme="minorHAnsi" w:cstheme="minorHAnsi"/>
          <w:sz w:val="24"/>
          <w:szCs w:val="24"/>
        </w:rPr>
        <w:t>será abonada contra entrega de factura y aprobación de informes por parte de la Dirección Nacional de Cambio Climático.</w:t>
      </w:r>
    </w:p>
    <w:p w14:paraId="230DFEAF" w14:textId="77777777" w:rsidR="00792A5A" w:rsidRPr="00792A5A" w:rsidRDefault="00792A5A" w:rsidP="00677AC0">
      <w:pPr>
        <w:spacing w:after="0" w:line="240" w:lineRule="auto"/>
        <w:jc w:val="both"/>
        <w:rPr>
          <w:rFonts w:asciiTheme="minorHAnsi" w:hAnsiTheme="minorHAnsi" w:cstheme="minorHAnsi"/>
          <w:sz w:val="24"/>
          <w:szCs w:val="24"/>
        </w:rPr>
      </w:pPr>
    </w:p>
    <w:p w14:paraId="77B9C50B" w14:textId="20EB0D40" w:rsidR="00805A69" w:rsidRPr="00792A5A" w:rsidRDefault="004F242F" w:rsidP="00792A5A">
      <w:pPr>
        <w:numPr>
          <w:ilvl w:val="0"/>
          <w:numId w:val="5"/>
        </w:numPr>
        <w:pBdr>
          <w:top w:val="nil"/>
          <w:left w:val="nil"/>
          <w:bottom w:val="nil"/>
          <w:right w:val="nil"/>
          <w:between w:val="nil"/>
        </w:pBdr>
        <w:spacing w:after="0" w:line="240" w:lineRule="auto"/>
        <w:jc w:val="both"/>
        <w:rPr>
          <w:rFonts w:asciiTheme="minorHAnsi" w:hAnsiTheme="minorHAnsi" w:cstheme="minorHAnsi"/>
          <w:color w:val="000000"/>
          <w:sz w:val="24"/>
          <w:szCs w:val="24"/>
        </w:rPr>
      </w:pPr>
      <w:r w:rsidRPr="00117059">
        <w:rPr>
          <w:rFonts w:asciiTheme="minorHAnsi" w:hAnsiTheme="minorHAnsi" w:cstheme="minorHAnsi"/>
          <w:b/>
          <w:color w:val="000000"/>
          <w:sz w:val="24"/>
          <w:szCs w:val="24"/>
        </w:rPr>
        <w:t>PRODUCTOS</w:t>
      </w:r>
    </w:p>
    <w:tbl>
      <w:tblPr>
        <w:tblpPr w:leftFromText="141" w:rightFromText="141" w:vertAnchor="text" w:horzAnchor="margin" w:tblpY="195"/>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80"/>
        <w:gridCol w:w="2460"/>
      </w:tblGrid>
      <w:tr w:rsidR="008E789B" w:rsidRPr="00117059" w14:paraId="6E4D8985" w14:textId="77777777" w:rsidTr="00DF236D">
        <w:tc>
          <w:tcPr>
            <w:tcW w:w="64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AD6C12" w14:textId="77777777" w:rsidR="008E789B" w:rsidRPr="00117059" w:rsidRDefault="008E789B" w:rsidP="00DF236D">
            <w:pPr>
              <w:jc w:val="both"/>
              <w:rPr>
                <w:rFonts w:asciiTheme="minorHAnsi" w:hAnsiTheme="minorHAnsi" w:cstheme="minorHAnsi"/>
                <w:b/>
                <w:sz w:val="24"/>
                <w:szCs w:val="24"/>
              </w:rPr>
            </w:pPr>
            <w:r w:rsidRPr="00117059">
              <w:rPr>
                <w:rFonts w:asciiTheme="minorHAnsi" w:hAnsiTheme="minorHAnsi" w:cstheme="minorHAnsi"/>
                <w:b/>
                <w:sz w:val="24"/>
                <w:szCs w:val="24"/>
              </w:rPr>
              <w:t>Productos a entregar:</w:t>
            </w:r>
          </w:p>
        </w:tc>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179F77" w14:textId="77777777" w:rsidR="008E789B" w:rsidRPr="00117059" w:rsidRDefault="008E789B" w:rsidP="00DF236D">
            <w:pPr>
              <w:jc w:val="both"/>
              <w:rPr>
                <w:rFonts w:asciiTheme="minorHAnsi" w:hAnsiTheme="minorHAnsi" w:cstheme="minorHAnsi"/>
                <w:b/>
                <w:sz w:val="24"/>
                <w:szCs w:val="24"/>
              </w:rPr>
            </w:pPr>
            <w:r w:rsidRPr="00117059">
              <w:rPr>
                <w:rFonts w:asciiTheme="minorHAnsi" w:hAnsiTheme="minorHAnsi" w:cstheme="minorHAnsi"/>
                <w:b/>
                <w:sz w:val="24"/>
                <w:szCs w:val="24"/>
              </w:rPr>
              <w:t>Fecha de entrega</w:t>
            </w:r>
          </w:p>
        </w:tc>
      </w:tr>
      <w:tr w:rsidR="008E789B" w:rsidRPr="00117059" w14:paraId="63F57549" w14:textId="77777777" w:rsidTr="00075EED">
        <w:trPr>
          <w:trHeight w:val="274"/>
        </w:trPr>
        <w:tc>
          <w:tcPr>
            <w:tcW w:w="6480" w:type="dxa"/>
            <w:tcBorders>
              <w:top w:val="single" w:sz="4" w:space="0" w:color="000000"/>
              <w:left w:val="single" w:sz="4" w:space="0" w:color="000000"/>
              <w:bottom w:val="single" w:sz="4" w:space="0" w:color="000000"/>
              <w:right w:val="single" w:sz="4" w:space="0" w:color="000000"/>
            </w:tcBorders>
            <w:vAlign w:val="center"/>
          </w:tcPr>
          <w:p w14:paraId="5CF32B0A" w14:textId="07A21D67" w:rsidR="00792A5A" w:rsidRPr="00792A5A" w:rsidRDefault="008E789B" w:rsidP="00351FCE">
            <w:pPr>
              <w:pBdr>
                <w:top w:val="nil"/>
                <w:left w:val="nil"/>
                <w:bottom w:val="nil"/>
                <w:right w:val="nil"/>
                <w:between w:val="nil"/>
              </w:pBdr>
              <w:spacing w:after="0"/>
              <w:jc w:val="both"/>
              <w:rPr>
                <w:rFonts w:asciiTheme="minorHAnsi" w:eastAsia="Times New Roman" w:hAnsiTheme="minorHAnsi" w:cstheme="minorHAnsi"/>
                <w:sz w:val="24"/>
                <w:szCs w:val="24"/>
              </w:rPr>
            </w:pPr>
            <w:r w:rsidRPr="00117059">
              <w:rPr>
                <w:rFonts w:asciiTheme="minorHAnsi" w:eastAsia="Times New Roman" w:hAnsiTheme="minorHAnsi" w:cstheme="minorHAnsi"/>
                <w:b/>
                <w:bCs/>
                <w:sz w:val="24"/>
                <w:szCs w:val="24"/>
              </w:rPr>
              <w:t>P</w:t>
            </w:r>
            <w:r w:rsidR="00075EED">
              <w:rPr>
                <w:rFonts w:asciiTheme="minorHAnsi" w:eastAsia="Times New Roman" w:hAnsiTheme="minorHAnsi" w:cstheme="minorHAnsi"/>
                <w:b/>
                <w:bCs/>
                <w:sz w:val="24"/>
                <w:szCs w:val="24"/>
              </w:rPr>
              <w:t>roducto</w:t>
            </w:r>
            <w:r w:rsidRPr="00117059">
              <w:rPr>
                <w:rFonts w:asciiTheme="minorHAnsi" w:eastAsia="Times New Roman" w:hAnsiTheme="minorHAnsi" w:cstheme="minorHAnsi"/>
                <w:b/>
                <w:bCs/>
                <w:sz w:val="24"/>
                <w:szCs w:val="24"/>
              </w:rPr>
              <w:t xml:space="preserve"> 1</w:t>
            </w:r>
            <w:r w:rsidR="00792A5A">
              <w:rPr>
                <w:rFonts w:asciiTheme="minorHAnsi" w:eastAsia="Times New Roman" w:hAnsiTheme="minorHAnsi" w:cstheme="minorHAnsi"/>
                <w:b/>
                <w:bCs/>
                <w:sz w:val="24"/>
                <w:szCs w:val="24"/>
              </w:rPr>
              <w:t xml:space="preserve"> </w:t>
            </w:r>
            <w:r w:rsidR="00546F4F">
              <w:rPr>
                <w:rFonts w:asciiTheme="minorHAnsi" w:eastAsia="Times New Roman" w:hAnsiTheme="minorHAnsi" w:cstheme="minorHAnsi"/>
                <w:b/>
                <w:bCs/>
                <w:sz w:val="24"/>
                <w:szCs w:val="24"/>
              </w:rPr>
              <w:t>–</w:t>
            </w:r>
            <w:r w:rsidR="00792A5A">
              <w:rPr>
                <w:rFonts w:asciiTheme="minorHAnsi" w:eastAsia="Times New Roman" w:hAnsiTheme="minorHAnsi" w:cstheme="minorHAnsi"/>
                <w:b/>
                <w:bCs/>
                <w:sz w:val="24"/>
                <w:szCs w:val="24"/>
              </w:rPr>
              <w:t xml:space="preserve"> </w:t>
            </w:r>
            <w:r w:rsidR="00546F4F">
              <w:rPr>
                <w:rFonts w:asciiTheme="minorHAnsi" w:eastAsia="Times New Roman" w:hAnsiTheme="minorHAnsi" w:cstheme="minorHAnsi"/>
                <w:b/>
                <w:bCs/>
                <w:sz w:val="24"/>
                <w:szCs w:val="24"/>
              </w:rPr>
              <w:t>Informe Técnico</w:t>
            </w:r>
          </w:p>
          <w:p w14:paraId="7CD39F80" w14:textId="19FDB59D" w:rsidR="00D07A82" w:rsidRPr="00D07A82" w:rsidRDefault="00D07A82" w:rsidP="00D07A82">
            <w:pPr>
              <w:pStyle w:val="Prrafodelista"/>
              <w:numPr>
                <w:ilvl w:val="0"/>
                <w:numId w:val="19"/>
              </w:numPr>
              <w:pBdr>
                <w:top w:val="nil"/>
                <w:left w:val="nil"/>
                <w:bottom w:val="nil"/>
                <w:right w:val="nil"/>
                <w:between w:val="nil"/>
              </w:pBdr>
              <w:ind w:left="318" w:hanging="318"/>
              <w:jc w:val="both"/>
              <w:rPr>
                <w:rFonts w:asciiTheme="minorHAnsi" w:hAnsiTheme="minorHAnsi" w:cstheme="minorHAnsi"/>
                <w:color w:val="000000"/>
                <w:sz w:val="24"/>
                <w:szCs w:val="24"/>
              </w:rPr>
            </w:pPr>
            <w:r w:rsidRPr="00D07A82">
              <w:rPr>
                <w:rFonts w:asciiTheme="minorHAnsi" w:hAnsiTheme="minorHAnsi" w:cstheme="minorHAnsi"/>
                <w:color w:val="000000"/>
                <w:sz w:val="24"/>
                <w:szCs w:val="24"/>
              </w:rPr>
              <w:t>Avances en la Evaluación de Exactitud Temática (EET) de materiales cartográficos (generación de puntos fijos y matrices de confusión) conforme a un protocolo estandarizado a convenir entre el MADES y la Agencia Espacial del Paraguay (AEP).</w:t>
            </w:r>
          </w:p>
          <w:p w14:paraId="2FA1A5BC" w14:textId="352CF751" w:rsidR="008E789B" w:rsidRPr="00792A5A" w:rsidRDefault="00D07A82" w:rsidP="00D07A82">
            <w:pPr>
              <w:pStyle w:val="Prrafodelista"/>
              <w:numPr>
                <w:ilvl w:val="0"/>
                <w:numId w:val="19"/>
              </w:numPr>
              <w:pBdr>
                <w:top w:val="nil"/>
                <w:left w:val="nil"/>
                <w:bottom w:val="nil"/>
                <w:right w:val="nil"/>
                <w:between w:val="nil"/>
              </w:pBdr>
              <w:ind w:left="318" w:hanging="318"/>
              <w:jc w:val="both"/>
              <w:rPr>
                <w:rFonts w:asciiTheme="minorHAnsi" w:hAnsiTheme="minorHAnsi" w:cstheme="minorHAnsi"/>
                <w:color w:val="000000"/>
                <w:sz w:val="24"/>
                <w:szCs w:val="24"/>
              </w:rPr>
            </w:pPr>
            <w:r w:rsidRPr="00D07A82">
              <w:rPr>
                <w:rFonts w:asciiTheme="minorHAnsi" w:hAnsiTheme="minorHAnsi" w:cstheme="minorHAnsi"/>
                <w:color w:val="000000"/>
                <w:sz w:val="24"/>
                <w:szCs w:val="24"/>
              </w:rPr>
              <w:t>Informe de actividades requeridas por la DNCC/MADES y el Proyecto 5NC/2BTR.</w:t>
            </w:r>
          </w:p>
        </w:tc>
        <w:tc>
          <w:tcPr>
            <w:tcW w:w="2460" w:type="dxa"/>
            <w:tcBorders>
              <w:top w:val="single" w:sz="4" w:space="0" w:color="000000"/>
              <w:left w:val="single" w:sz="4" w:space="0" w:color="000000"/>
              <w:bottom w:val="single" w:sz="4" w:space="0" w:color="000000"/>
              <w:right w:val="single" w:sz="4" w:space="0" w:color="000000"/>
            </w:tcBorders>
            <w:vAlign w:val="center"/>
          </w:tcPr>
          <w:p w14:paraId="675FDEDB" w14:textId="77777777" w:rsidR="008E789B" w:rsidRPr="00117059" w:rsidRDefault="008E789B" w:rsidP="00DF236D">
            <w:pPr>
              <w:jc w:val="both"/>
              <w:rPr>
                <w:rFonts w:asciiTheme="minorHAnsi" w:hAnsiTheme="minorHAnsi" w:cstheme="minorHAnsi"/>
                <w:color w:val="000000"/>
                <w:sz w:val="24"/>
                <w:szCs w:val="24"/>
              </w:rPr>
            </w:pPr>
            <w:r w:rsidRPr="00117059">
              <w:rPr>
                <w:rFonts w:asciiTheme="minorHAnsi" w:hAnsiTheme="minorHAnsi" w:cstheme="minorHAnsi"/>
                <w:color w:val="000000"/>
                <w:sz w:val="24"/>
                <w:szCs w:val="24"/>
              </w:rPr>
              <w:t>30 días de la firma del contrato.</w:t>
            </w:r>
          </w:p>
        </w:tc>
      </w:tr>
      <w:tr w:rsidR="008E789B" w:rsidRPr="00117059" w14:paraId="7C6B93B7" w14:textId="77777777" w:rsidTr="00190A48">
        <w:trPr>
          <w:trHeight w:val="695"/>
        </w:trPr>
        <w:tc>
          <w:tcPr>
            <w:tcW w:w="6480" w:type="dxa"/>
            <w:tcBorders>
              <w:top w:val="single" w:sz="4" w:space="0" w:color="000000"/>
              <w:left w:val="single" w:sz="4" w:space="0" w:color="000000"/>
              <w:bottom w:val="single" w:sz="4" w:space="0" w:color="000000"/>
              <w:right w:val="single" w:sz="4" w:space="0" w:color="000000"/>
            </w:tcBorders>
            <w:vAlign w:val="center"/>
          </w:tcPr>
          <w:p w14:paraId="2C4802F4" w14:textId="4B58DAC5" w:rsidR="00792A5A" w:rsidRPr="00792A5A" w:rsidRDefault="008E789B" w:rsidP="00351FCE">
            <w:pPr>
              <w:pBdr>
                <w:top w:val="nil"/>
                <w:left w:val="nil"/>
                <w:bottom w:val="nil"/>
                <w:right w:val="nil"/>
                <w:between w:val="nil"/>
              </w:pBdr>
              <w:spacing w:after="0"/>
              <w:jc w:val="both"/>
              <w:rPr>
                <w:rFonts w:asciiTheme="minorHAnsi" w:hAnsiTheme="minorHAnsi" w:cstheme="minorHAnsi"/>
                <w:b/>
                <w:bCs/>
                <w:sz w:val="24"/>
                <w:szCs w:val="24"/>
                <w:lang w:val="es-AR"/>
              </w:rPr>
            </w:pPr>
            <w:r w:rsidRPr="00117059">
              <w:rPr>
                <w:rFonts w:asciiTheme="minorHAnsi" w:hAnsiTheme="minorHAnsi" w:cstheme="minorHAnsi"/>
                <w:b/>
                <w:bCs/>
                <w:sz w:val="24"/>
                <w:szCs w:val="24"/>
                <w:lang w:val="es-AR"/>
              </w:rPr>
              <w:t>P</w:t>
            </w:r>
            <w:r w:rsidR="00075EED">
              <w:rPr>
                <w:rFonts w:asciiTheme="minorHAnsi" w:hAnsiTheme="minorHAnsi" w:cstheme="minorHAnsi"/>
                <w:b/>
                <w:bCs/>
                <w:sz w:val="24"/>
                <w:szCs w:val="24"/>
                <w:lang w:val="es-AR"/>
              </w:rPr>
              <w:t xml:space="preserve">roducto </w:t>
            </w:r>
            <w:r w:rsidRPr="00117059">
              <w:rPr>
                <w:rFonts w:asciiTheme="minorHAnsi" w:hAnsiTheme="minorHAnsi" w:cstheme="minorHAnsi"/>
                <w:b/>
                <w:bCs/>
                <w:sz w:val="24"/>
                <w:szCs w:val="24"/>
                <w:lang w:val="es-AR"/>
              </w:rPr>
              <w:t>2</w:t>
            </w:r>
            <w:r w:rsidR="00792A5A">
              <w:rPr>
                <w:rFonts w:asciiTheme="minorHAnsi" w:hAnsiTheme="minorHAnsi" w:cstheme="minorHAnsi"/>
                <w:b/>
                <w:bCs/>
                <w:sz w:val="24"/>
                <w:szCs w:val="24"/>
                <w:lang w:val="es-AR"/>
              </w:rPr>
              <w:t xml:space="preserve"> </w:t>
            </w:r>
            <w:r w:rsidR="00F11B67">
              <w:rPr>
                <w:rFonts w:asciiTheme="minorHAnsi" w:hAnsiTheme="minorHAnsi" w:cstheme="minorHAnsi"/>
                <w:b/>
                <w:bCs/>
                <w:sz w:val="24"/>
                <w:szCs w:val="24"/>
                <w:lang w:val="es-AR"/>
              </w:rPr>
              <w:t>–</w:t>
            </w:r>
            <w:r w:rsidR="00792A5A">
              <w:rPr>
                <w:rFonts w:asciiTheme="minorHAnsi" w:hAnsiTheme="minorHAnsi" w:cstheme="minorHAnsi"/>
                <w:b/>
                <w:bCs/>
                <w:sz w:val="24"/>
                <w:szCs w:val="24"/>
                <w:lang w:val="es-AR"/>
              </w:rPr>
              <w:t xml:space="preserve"> </w:t>
            </w:r>
            <w:r w:rsidR="00F11B67">
              <w:rPr>
                <w:rFonts w:asciiTheme="minorHAnsi" w:hAnsiTheme="minorHAnsi" w:cstheme="minorHAnsi"/>
                <w:b/>
                <w:bCs/>
                <w:sz w:val="24"/>
                <w:szCs w:val="24"/>
                <w:lang w:val="es-AR"/>
              </w:rPr>
              <w:t>Informe técnico</w:t>
            </w:r>
          </w:p>
          <w:p w14:paraId="30DFF558" w14:textId="77777777" w:rsidR="00800136" w:rsidRPr="00800136" w:rsidRDefault="00800136" w:rsidP="00800136">
            <w:pPr>
              <w:pStyle w:val="Prrafodelista"/>
              <w:numPr>
                <w:ilvl w:val="0"/>
                <w:numId w:val="19"/>
              </w:numPr>
              <w:pBdr>
                <w:top w:val="nil"/>
                <w:left w:val="nil"/>
                <w:bottom w:val="nil"/>
                <w:right w:val="nil"/>
                <w:between w:val="nil"/>
              </w:pBdr>
              <w:ind w:left="318" w:hanging="284"/>
              <w:jc w:val="both"/>
              <w:rPr>
                <w:rFonts w:asciiTheme="minorHAnsi" w:eastAsia="Times New Roman" w:hAnsiTheme="minorHAnsi" w:cstheme="minorHAnsi"/>
                <w:sz w:val="24"/>
                <w:szCs w:val="24"/>
              </w:rPr>
            </w:pPr>
            <w:r w:rsidRPr="00800136">
              <w:rPr>
                <w:rFonts w:asciiTheme="minorHAnsi" w:eastAsia="Times New Roman" w:hAnsiTheme="minorHAnsi" w:cstheme="minorHAnsi"/>
                <w:sz w:val="24"/>
                <w:szCs w:val="24"/>
              </w:rPr>
              <w:t>Avances en la Evaluación de Exactitud Temática (EET) de materiales cartográficos (generación de puntos fijos y matrices de confusión) conforme a protocolo estandarizado a convenir entre el MADES y la Agencia Espacial del Paraguay (AEP).</w:t>
            </w:r>
          </w:p>
          <w:p w14:paraId="5AA169C7" w14:textId="4D3E7370" w:rsidR="008E789B" w:rsidRPr="00800136" w:rsidRDefault="00800136" w:rsidP="00800136">
            <w:pPr>
              <w:pStyle w:val="Prrafodelista"/>
              <w:numPr>
                <w:ilvl w:val="0"/>
                <w:numId w:val="19"/>
              </w:numPr>
              <w:pBdr>
                <w:top w:val="nil"/>
                <w:left w:val="nil"/>
                <w:bottom w:val="nil"/>
                <w:right w:val="nil"/>
                <w:between w:val="nil"/>
              </w:pBdr>
              <w:ind w:left="318" w:hanging="284"/>
              <w:jc w:val="both"/>
              <w:rPr>
                <w:rFonts w:asciiTheme="minorHAnsi" w:eastAsia="Times New Roman" w:hAnsiTheme="minorHAnsi" w:cstheme="minorHAnsi"/>
                <w:sz w:val="24"/>
                <w:szCs w:val="24"/>
              </w:rPr>
            </w:pPr>
            <w:r w:rsidRPr="00800136">
              <w:rPr>
                <w:rFonts w:asciiTheme="minorHAnsi" w:eastAsia="Times New Roman" w:hAnsiTheme="minorHAnsi" w:cstheme="minorHAnsi"/>
                <w:sz w:val="24"/>
                <w:szCs w:val="24"/>
              </w:rPr>
              <w:t>Informe de actividades requeridas por la DNCC/MADES y el Proyecto 5NC/2BTR.</w:t>
            </w:r>
          </w:p>
        </w:tc>
        <w:tc>
          <w:tcPr>
            <w:tcW w:w="2460" w:type="dxa"/>
            <w:tcBorders>
              <w:top w:val="single" w:sz="4" w:space="0" w:color="000000"/>
              <w:left w:val="single" w:sz="4" w:space="0" w:color="000000"/>
              <w:bottom w:val="single" w:sz="4" w:space="0" w:color="000000"/>
              <w:right w:val="single" w:sz="4" w:space="0" w:color="000000"/>
            </w:tcBorders>
            <w:vAlign w:val="center"/>
          </w:tcPr>
          <w:p w14:paraId="7D63E596" w14:textId="77777777" w:rsidR="008E789B" w:rsidRPr="00117059" w:rsidRDefault="008E789B" w:rsidP="00DF236D">
            <w:pPr>
              <w:jc w:val="both"/>
              <w:rPr>
                <w:rFonts w:asciiTheme="minorHAnsi" w:hAnsiTheme="minorHAnsi" w:cstheme="minorHAnsi"/>
                <w:color w:val="000000"/>
                <w:sz w:val="24"/>
                <w:szCs w:val="24"/>
              </w:rPr>
            </w:pPr>
            <w:r w:rsidRPr="00117059">
              <w:rPr>
                <w:rFonts w:asciiTheme="minorHAnsi" w:hAnsiTheme="minorHAnsi" w:cstheme="minorHAnsi"/>
                <w:color w:val="000000"/>
                <w:sz w:val="24"/>
                <w:szCs w:val="24"/>
              </w:rPr>
              <w:t>60 días de la firma del contrato.</w:t>
            </w:r>
          </w:p>
        </w:tc>
      </w:tr>
      <w:tr w:rsidR="008E789B" w:rsidRPr="00117059" w14:paraId="0D05AEF5" w14:textId="77777777" w:rsidTr="00DF236D">
        <w:trPr>
          <w:trHeight w:val="691"/>
        </w:trPr>
        <w:tc>
          <w:tcPr>
            <w:tcW w:w="6480" w:type="dxa"/>
            <w:tcBorders>
              <w:top w:val="single" w:sz="4" w:space="0" w:color="000000"/>
              <w:left w:val="single" w:sz="4" w:space="0" w:color="000000"/>
              <w:bottom w:val="single" w:sz="4" w:space="0" w:color="000000"/>
              <w:right w:val="single" w:sz="4" w:space="0" w:color="000000"/>
            </w:tcBorders>
            <w:vAlign w:val="center"/>
          </w:tcPr>
          <w:p w14:paraId="18F03481" w14:textId="0514A787" w:rsidR="00792A5A" w:rsidRPr="00792A5A" w:rsidRDefault="008E789B" w:rsidP="00351FCE">
            <w:pPr>
              <w:spacing w:after="0"/>
              <w:jc w:val="both"/>
              <w:rPr>
                <w:rFonts w:asciiTheme="minorHAnsi" w:hAnsiTheme="minorHAnsi" w:cstheme="minorHAnsi"/>
                <w:b/>
                <w:color w:val="000000"/>
                <w:sz w:val="24"/>
                <w:szCs w:val="24"/>
              </w:rPr>
            </w:pPr>
            <w:r w:rsidRPr="00117059">
              <w:rPr>
                <w:rFonts w:asciiTheme="minorHAnsi" w:hAnsiTheme="minorHAnsi" w:cstheme="minorHAnsi"/>
                <w:b/>
                <w:color w:val="000000"/>
                <w:sz w:val="24"/>
                <w:szCs w:val="24"/>
              </w:rPr>
              <w:t>P</w:t>
            </w:r>
            <w:r w:rsidR="00075EED">
              <w:rPr>
                <w:rFonts w:asciiTheme="minorHAnsi" w:hAnsiTheme="minorHAnsi" w:cstheme="minorHAnsi"/>
                <w:b/>
                <w:color w:val="000000"/>
                <w:sz w:val="24"/>
                <w:szCs w:val="24"/>
              </w:rPr>
              <w:t>roducto</w:t>
            </w:r>
            <w:r w:rsidRPr="00117059">
              <w:rPr>
                <w:rFonts w:asciiTheme="minorHAnsi" w:hAnsiTheme="minorHAnsi" w:cstheme="minorHAnsi"/>
                <w:b/>
                <w:color w:val="000000"/>
                <w:sz w:val="24"/>
                <w:szCs w:val="24"/>
              </w:rPr>
              <w:t xml:space="preserve"> 3</w:t>
            </w:r>
            <w:r w:rsidR="00792A5A">
              <w:rPr>
                <w:rFonts w:asciiTheme="minorHAnsi" w:hAnsiTheme="minorHAnsi" w:cstheme="minorHAnsi"/>
                <w:b/>
                <w:color w:val="000000"/>
                <w:sz w:val="24"/>
                <w:szCs w:val="24"/>
              </w:rPr>
              <w:t xml:space="preserve"> </w:t>
            </w:r>
            <w:r w:rsidR="00F11B67">
              <w:rPr>
                <w:rFonts w:asciiTheme="minorHAnsi" w:hAnsiTheme="minorHAnsi" w:cstheme="minorHAnsi"/>
                <w:b/>
                <w:color w:val="000000"/>
                <w:sz w:val="24"/>
                <w:szCs w:val="24"/>
              </w:rPr>
              <w:t>–</w:t>
            </w:r>
            <w:r w:rsidR="00792A5A">
              <w:rPr>
                <w:rFonts w:asciiTheme="minorHAnsi" w:hAnsiTheme="minorHAnsi" w:cstheme="minorHAnsi"/>
                <w:b/>
                <w:color w:val="000000"/>
                <w:sz w:val="24"/>
                <w:szCs w:val="24"/>
              </w:rPr>
              <w:t xml:space="preserve"> </w:t>
            </w:r>
            <w:r w:rsidR="00F11B67">
              <w:rPr>
                <w:rFonts w:asciiTheme="minorHAnsi" w:hAnsiTheme="minorHAnsi" w:cstheme="minorHAnsi"/>
                <w:b/>
                <w:color w:val="000000"/>
                <w:sz w:val="24"/>
                <w:szCs w:val="24"/>
              </w:rPr>
              <w:t>Informe Técnico</w:t>
            </w:r>
          </w:p>
          <w:p w14:paraId="407E41B5" w14:textId="77777777" w:rsidR="007E27DE" w:rsidRDefault="007E27DE" w:rsidP="007E27DE">
            <w:pPr>
              <w:pStyle w:val="Prrafodelista"/>
              <w:numPr>
                <w:ilvl w:val="0"/>
                <w:numId w:val="19"/>
              </w:numPr>
              <w:ind w:left="318" w:hanging="318"/>
              <w:jc w:val="both"/>
              <w:rPr>
                <w:rFonts w:asciiTheme="minorHAnsi" w:eastAsia="Times New Roman" w:hAnsiTheme="minorHAnsi" w:cstheme="minorHAnsi"/>
                <w:bCs/>
                <w:sz w:val="24"/>
                <w:szCs w:val="24"/>
              </w:rPr>
            </w:pPr>
            <w:r w:rsidRPr="007E27DE">
              <w:rPr>
                <w:rFonts w:asciiTheme="minorHAnsi" w:eastAsia="Times New Roman" w:hAnsiTheme="minorHAnsi" w:cstheme="minorHAnsi"/>
                <w:bCs/>
                <w:sz w:val="24"/>
                <w:szCs w:val="24"/>
              </w:rPr>
              <w:t>Avances en la Evaluación de Exactitud Temática (EET) de materiales cartográficos (generación de puntos fijos y matrices de confusión) conforme a protocolo estandarizado a convenir entre el MADES y la Agencia Espacial del Paraguay (AEP).</w:t>
            </w:r>
          </w:p>
          <w:p w14:paraId="1EC6A70F" w14:textId="77777777" w:rsidR="007E27DE" w:rsidRDefault="007E27DE" w:rsidP="007E27DE">
            <w:pPr>
              <w:pStyle w:val="Prrafodelista"/>
              <w:numPr>
                <w:ilvl w:val="0"/>
                <w:numId w:val="19"/>
              </w:numPr>
              <w:ind w:left="318" w:hanging="318"/>
              <w:jc w:val="both"/>
              <w:rPr>
                <w:rFonts w:asciiTheme="minorHAnsi" w:eastAsia="Times New Roman" w:hAnsiTheme="minorHAnsi" w:cstheme="minorHAnsi"/>
                <w:bCs/>
                <w:sz w:val="24"/>
                <w:szCs w:val="24"/>
              </w:rPr>
            </w:pPr>
            <w:r w:rsidRPr="007E27DE">
              <w:rPr>
                <w:rFonts w:asciiTheme="minorHAnsi" w:eastAsia="Times New Roman" w:hAnsiTheme="minorHAnsi" w:cstheme="minorHAnsi"/>
                <w:bCs/>
                <w:sz w:val="24"/>
                <w:szCs w:val="24"/>
              </w:rPr>
              <w:t>Apoyo para la redacción metodológica del Documento del Inventario Nacional (DIN).</w:t>
            </w:r>
          </w:p>
          <w:p w14:paraId="460EC6CC" w14:textId="505D1A4C" w:rsidR="00892050" w:rsidRPr="007E27DE" w:rsidRDefault="007E27DE" w:rsidP="007E27DE">
            <w:pPr>
              <w:pStyle w:val="Prrafodelista"/>
              <w:numPr>
                <w:ilvl w:val="0"/>
                <w:numId w:val="19"/>
              </w:numPr>
              <w:ind w:left="318" w:hanging="318"/>
              <w:jc w:val="both"/>
              <w:rPr>
                <w:rFonts w:asciiTheme="minorHAnsi" w:eastAsia="Times New Roman" w:hAnsiTheme="minorHAnsi" w:cstheme="minorHAnsi"/>
                <w:bCs/>
                <w:sz w:val="24"/>
                <w:szCs w:val="24"/>
              </w:rPr>
            </w:pPr>
            <w:r w:rsidRPr="007E27DE">
              <w:rPr>
                <w:rFonts w:asciiTheme="minorHAnsi" w:eastAsia="Times New Roman" w:hAnsiTheme="minorHAnsi" w:cstheme="minorHAnsi"/>
                <w:bCs/>
                <w:sz w:val="24"/>
                <w:szCs w:val="24"/>
              </w:rPr>
              <w:t>Informe de actividades requeridas por la DNCC/MADES y el Proyecto 5NC/2BTR.</w:t>
            </w:r>
          </w:p>
        </w:tc>
        <w:tc>
          <w:tcPr>
            <w:tcW w:w="2460" w:type="dxa"/>
            <w:tcBorders>
              <w:top w:val="single" w:sz="4" w:space="0" w:color="000000"/>
              <w:left w:val="single" w:sz="4" w:space="0" w:color="000000"/>
              <w:bottom w:val="single" w:sz="4" w:space="0" w:color="000000"/>
              <w:right w:val="single" w:sz="4" w:space="0" w:color="000000"/>
            </w:tcBorders>
            <w:vAlign w:val="center"/>
          </w:tcPr>
          <w:p w14:paraId="563A5F0F" w14:textId="77777777" w:rsidR="008E789B" w:rsidRDefault="008E789B" w:rsidP="00DF236D">
            <w:pPr>
              <w:jc w:val="both"/>
              <w:rPr>
                <w:rFonts w:asciiTheme="minorHAnsi" w:hAnsiTheme="minorHAnsi" w:cstheme="minorHAnsi"/>
                <w:color w:val="000000"/>
                <w:sz w:val="24"/>
                <w:szCs w:val="24"/>
              </w:rPr>
            </w:pPr>
            <w:r w:rsidRPr="00117059">
              <w:rPr>
                <w:rFonts w:asciiTheme="minorHAnsi" w:hAnsiTheme="minorHAnsi" w:cstheme="minorHAnsi"/>
                <w:color w:val="000000"/>
                <w:sz w:val="24"/>
                <w:szCs w:val="24"/>
              </w:rPr>
              <w:t>90 días de la firma del contrato.</w:t>
            </w:r>
          </w:p>
          <w:p w14:paraId="3FED4891" w14:textId="77777777" w:rsidR="00892050" w:rsidRPr="00117059" w:rsidRDefault="00892050" w:rsidP="00DF236D">
            <w:pPr>
              <w:jc w:val="both"/>
              <w:rPr>
                <w:rFonts w:asciiTheme="minorHAnsi" w:hAnsiTheme="minorHAnsi" w:cstheme="minorHAnsi"/>
                <w:color w:val="000000"/>
                <w:sz w:val="24"/>
                <w:szCs w:val="24"/>
              </w:rPr>
            </w:pPr>
          </w:p>
        </w:tc>
      </w:tr>
    </w:tbl>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87"/>
        <w:gridCol w:w="2410"/>
      </w:tblGrid>
      <w:tr w:rsidR="00892050" w:rsidRPr="00892050" w14:paraId="57411BE8" w14:textId="77777777" w:rsidTr="00630256">
        <w:trPr>
          <w:trHeight w:val="1833"/>
        </w:trPr>
        <w:tc>
          <w:tcPr>
            <w:tcW w:w="6487" w:type="dxa"/>
          </w:tcPr>
          <w:p w14:paraId="4544838D" w14:textId="472552DB" w:rsidR="00892050" w:rsidRPr="00892050" w:rsidRDefault="00892050" w:rsidP="00892050">
            <w:pPr>
              <w:spacing w:after="0" w:line="240" w:lineRule="auto"/>
              <w:jc w:val="both"/>
              <w:rPr>
                <w:rFonts w:asciiTheme="minorHAnsi" w:hAnsiTheme="minorHAnsi" w:cstheme="minorHAnsi"/>
                <w:b/>
                <w:bCs/>
                <w:i/>
                <w:iCs/>
                <w:sz w:val="24"/>
                <w:szCs w:val="24"/>
                <w:lang w:val="es"/>
              </w:rPr>
            </w:pPr>
            <w:r w:rsidRPr="00892050">
              <w:rPr>
                <w:rFonts w:asciiTheme="minorHAnsi" w:hAnsiTheme="minorHAnsi" w:cstheme="minorHAnsi"/>
                <w:b/>
                <w:bCs/>
                <w:i/>
                <w:iCs/>
                <w:sz w:val="24"/>
                <w:szCs w:val="24"/>
                <w:lang w:val="es"/>
              </w:rPr>
              <w:t xml:space="preserve">Producto 4. Informe Técnico </w:t>
            </w:r>
          </w:p>
          <w:p w14:paraId="5516CCE4" w14:textId="77777777" w:rsidR="008126F3" w:rsidRDefault="008126F3" w:rsidP="008126F3">
            <w:pPr>
              <w:pStyle w:val="Prrafodelista"/>
              <w:numPr>
                <w:ilvl w:val="0"/>
                <w:numId w:val="20"/>
              </w:numPr>
              <w:spacing w:after="0" w:line="240" w:lineRule="auto"/>
              <w:ind w:left="318" w:hanging="318"/>
              <w:jc w:val="both"/>
              <w:rPr>
                <w:rFonts w:asciiTheme="minorHAnsi" w:hAnsiTheme="minorHAnsi" w:cstheme="minorHAnsi"/>
                <w:bCs/>
                <w:sz w:val="24"/>
                <w:szCs w:val="24"/>
                <w:lang w:val="es"/>
              </w:rPr>
            </w:pPr>
            <w:r w:rsidRPr="008126F3">
              <w:rPr>
                <w:rFonts w:asciiTheme="minorHAnsi" w:hAnsiTheme="minorHAnsi" w:cstheme="minorHAnsi"/>
                <w:bCs/>
                <w:sz w:val="24"/>
                <w:szCs w:val="24"/>
                <w:lang w:val="es"/>
              </w:rPr>
              <w:t>Resultados de la Evaluación de Exactitud Temática (EET) de materiales cartográficos (generación de puntos fijos y matrices de confusión) conforme a protocolo estandarizado a convenir entre el MADES y la Agencia Espacial del Paraguay (AEP).</w:t>
            </w:r>
          </w:p>
          <w:p w14:paraId="421F194C" w14:textId="77777777" w:rsidR="008126F3" w:rsidRPr="008126F3" w:rsidRDefault="008126F3" w:rsidP="008126F3">
            <w:pPr>
              <w:pStyle w:val="Prrafodelista"/>
              <w:numPr>
                <w:ilvl w:val="0"/>
                <w:numId w:val="20"/>
              </w:numPr>
              <w:spacing w:after="0" w:line="240" w:lineRule="auto"/>
              <w:ind w:left="318" w:hanging="318"/>
              <w:jc w:val="both"/>
              <w:rPr>
                <w:rFonts w:asciiTheme="minorHAnsi" w:hAnsiTheme="minorHAnsi" w:cstheme="minorHAnsi"/>
                <w:bCs/>
                <w:sz w:val="24"/>
                <w:szCs w:val="24"/>
                <w:lang w:val="es"/>
              </w:rPr>
            </w:pPr>
            <w:r w:rsidRPr="008126F3">
              <w:rPr>
                <w:rFonts w:asciiTheme="minorHAnsi" w:hAnsiTheme="minorHAnsi" w:cstheme="minorHAnsi"/>
                <w:bCs/>
                <w:sz w:val="24"/>
                <w:szCs w:val="24"/>
                <w:lang w:val="es"/>
              </w:rPr>
              <w:t>Apoyo para la redacción metodológica del Documento del Inventario Nacional (DIN).</w:t>
            </w:r>
          </w:p>
          <w:p w14:paraId="4BF9893F" w14:textId="73348D56" w:rsidR="00892050" w:rsidRPr="008126F3" w:rsidRDefault="008126F3" w:rsidP="008126F3">
            <w:pPr>
              <w:pStyle w:val="Prrafodelista"/>
              <w:numPr>
                <w:ilvl w:val="0"/>
                <w:numId w:val="20"/>
              </w:numPr>
              <w:spacing w:after="0" w:line="240" w:lineRule="auto"/>
              <w:ind w:left="318" w:hanging="318"/>
              <w:jc w:val="both"/>
              <w:rPr>
                <w:rFonts w:asciiTheme="minorHAnsi" w:hAnsiTheme="minorHAnsi" w:cstheme="minorHAnsi"/>
                <w:bCs/>
                <w:sz w:val="24"/>
                <w:szCs w:val="24"/>
                <w:lang w:val="es"/>
              </w:rPr>
            </w:pPr>
            <w:r w:rsidRPr="008126F3">
              <w:rPr>
                <w:rFonts w:asciiTheme="minorHAnsi" w:hAnsiTheme="minorHAnsi" w:cstheme="minorHAnsi"/>
                <w:bCs/>
                <w:sz w:val="24"/>
                <w:szCs w:val="24"/>
                <w:lang w:val="es"/>
              </w:rPr>
              <w:t>Informe de actividades requeridas por la DNCC/MADES y el Proyecto 5NC/2BTR.</w:t>
            </w:r>
          </w:p>
        </w:tc>
        <w:tc>
          <w:tcPr>
            <w:tcW w:w="2410" w:type="dxa"/>
            <w:vAlign w:val="center"/>
          </w:tcPr>
          <w:p w14:paraId="3F130204" w14:textId="6A24580C" w:rsidR="00892050" w:rsidRPr="00892050" w:rsidRDefault="00892050" w:rsidP="00892050">
            <w:pPr>
              <w:spacing w:after="0" w:line="240" w:lineRule="auto"/>
              <w:jc w:val="both"/>
              <w:rPr>
                <w:rFonts w:asciiTheme="minorHAnsi" w:hAnsiTheme="minorHAnsi" w:cstheme="minorHAnsi"/>
                <w:bCs/>
                <w:i/>
                <w:iCs/>
                <w:sz w:val="24"/>
                <w:szCs w:val="24"/>
                <w:lang w:val="es"/>
              </w:rPr>
            </w:pPr>
            <w:r w:rsidRPr="00892050">
              <w:rPr>
                <w:rFonts w:asciiTheme="minorHAnsi" w:hAnsiTheme="minorHAnsi" w:cstheme="minorHAnsi"/>
                <w:bCs/>
                <w:sz w:val="24"/>
                <w:szCs w:val="24"/>
                <w:lang w:val="es"/>
              </w:rPr>
              <w:t>120 días</w:t>
            </w:r>
            <w:r w:rsidRPr="00E021F9">
              <w:rPr>
                <w:rFonts w:asciiTheme="minorHAnsi" w:hAnsiTheme="minorHAnsi" w:cstheme="minorHAnsi"/>
                <w:bCs/>
                <w:sz w:val="24"/>
                <w:szCs w:val="24"/>
                <w:lang w:val="es"/>
              </w:rPr>
              <w:t xml:space="preserve"> de la firma del contrato</w:t>
            </w:r>
          </w:p>
        </w:tc>
      </w:tr>
    </w:tbl>
    <w:p w14:paraId="1A237B45" w14:textId="77777777" w:rsidR="00197D7C" w:rsidRPr="00117059" w:rsidRDefault="00197D7C" w:rsidP="00677AC0">
      <w:pPr>
        <w:spacing w:after="0" w:line="240" w:lineRule="auto"/>
        <w:jc w:val="both"/>
        <w:rPr>
          <w:rFonts w:asciiTheme="minorHAnsi" w:hAnsiTheme="minorHAnsi" w:cstheme="minorHAnsi"/>
          <w:b/>
          <w:sz w:val="24"/>
          <w:szCs w:val="24"/>
        </w:rPr>
      </w:pPr>
    </w:p>
    <w:sectPr w:rsidR="00197D7C" w:rsidRPr="00117059">
      <w:headerReference w:type="default" r:id="rId10"/>
      <w:pgSz w:w="11906" w:h="16838"/>
      <w:pgMar w:top="1669" w:right="1440" w:bottom="1440" w:left="1440" w:header="705"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268EC" w14:textId="77777777" w:rsidR="00CF0F9C" w:rsidRDefault="00CF0F9C">
      <w:pPr>
        <w:spacing w:after="0" w:line="240" w:lineRule="auto"/>
      </w:pPr>
      <w:r>
        <w:separator/>
      </w:r>
    </w:p>
  </w:endnote>
  <w:endnote w:type="continuationSeparator" w:id="0">
    <w:p w14:paraId="39BD7AFC" w14:textId="77777777" w:rsidR="00CF0F9C" w:rsidRDefault="00CF0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AD27A" w14:textId="77777777" w:rsidR="00CF0F9C" w:rsidRDefault="00CF0F9C">
      <w:pPr>
        <w:spacing w:after="0" w:line="240" w:lineRule="auto"/>
      </w:pPr>
      <w:r>
        <w:separator/>
      </w:r>
    </w:p>
  </w:footnote>
  <w:footnote w:type="continuationSeparator" w:id="0">
    <w:p w14:paraId="0805A6E1" w14:textId="77777777" w:rsidR="00CF0F9C" w:rsidRDefault="00CF0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D0A81" w14:textId="77777777" w:rsidR="00197D7C" w:rsidRDefault="004F242F">
    <w:pPr>
      <w:pBdr>
        <w:top w:val="nil"/>
        <w:left w:val="nil"/>
        <w:bottom w:val="nil"/>
        <w:right w:val="nil"/>
        <w:between w:val="nil"/>
      </w:pBdr>
      <w:tabs>
        <w:tab w:val="center" w:pos="4680"/>
        <w:tab w:val="right" w:pos="9360"/>
      </w:tabs>
      <w:spacing w:after="0" w:line="240" w:lineRule="auto"/>
      <w:rPr>
        <w:color w:val="000000"/>
      </w:rPr>
    </w:pPr>
    <w:r>
      <w:rPr>
        <w:noProof/>
        <w:lang w:val="es-PY"/>
      </w:rPr>
      <w:drawing>
        <wp:anchor distT="0" distB="0" distL="114300" distR="114300" simplePos="0" relativeHeight="251658240" behindDoc="0" locked="0" layoutInCell="1" hidden="0" allowOverlap="1" wp14:anchorId="0B120133" wp14:editId="4CC4A6D7">
          <wp:simplePos x="0" y="0"/>
          <wp:positionH relativeFrom="column">
            <wp:posOffset>3512820</wp:posOffset>
          </wp:positionH>
          <wp:positionV relativeFrom="paragraph">
            <wp:posOffset>-325119</wp:posOffset>
          </wp:positionV>
          <wp:extent cx="2218690" cy="842645"/>
          <wp:effectExtent l="0" t="0" r="0" b="0"/>
          <wp:wrapSquare wrapText="bothSides" distT="0" distB="0" distL="114300" distR="114300"/>
          <wp:docPr id="79863034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18690" cy="842645"/>
                  </a:xfrm>
                  <a:prstGeom prst="rect">
                    <a:avLst/>
                  </a:prstGeom>
                  <a:ln/>
                </pic:spPr>
              </pic:pic>
            </a:graphicData>
          </a:graphic>
        </wp:anchor>
      </w:drawing>
    </w:r>
    <w:r>
      <w:rPr>
        <w:noProof/>
        <w:lang w:val="es-PY"/>
      </w:rPr>
      <w:drawing>
        <wp:anchor distT="0" distB="0" distL="114300" distR="114300" simplePos="0" relativeHeight="251659264" behindDoc="0" locked="0" layoutInCell="1" hidden="0" allowOverlap="1" wp14:anchorId="2F41717B" wp14:editId="7CAB3A52">
          <wp:simplePos x="0" y="0"/>
          <wp:positionH relativeFrom="column">
            <wp:posOffset>1</wp:posOffset>
          </wp:positionH>
          <wp:positionV relativeFrom="paragraph">
            <wp:posOffset>-324484</wp:posOffset>
          </wp:positionV>
          <wp:extent cx="2203450" cy="829310"/>
          <wp:effectExtent l="0" t="0" r="0" b="0"/>
          <wp:wrapNone/>
          <wp:docPr id="79863034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203450" cy="82931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079C"/>
    <w:multiLevelType w:val="hybridMultilevel"/>
    <w:tmpl w:val="45F64AE8"/>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 w15:restartNumberingAfterBreak="0">
    <w:nsid w:val="0CE56EFB"/>
    <w:multiLevelType w:val="multilevel"/>
    <w:tmpl w:val="C658B6B0"/>
    <w:lvl w:ilvl="0">
      <w:start w:val="240"/>
      <w:numFmt w:val="bullet"/>
      <w:lvlText w:val="-"/>
      <w:lvlJc w:val="left"/>
      <w:pPr>
        <w:ind w:left="360" w:hanging="360"/>
      </w:pPr>
      <w:rPr>
        <w:rFonts w:ascii="Calibri" w:eastAsia="Calibri" w:hAnsi="Calibri" w:cs="Calibri"/>
        <w:b/>
      </w:rPr>
    </w:lvl>
    <w:lvl w:ilvl="1">
      <w:start w:val="1"/>
      <w:numFmt w:val="decimal"/>
      <w:lvlText w:val="-.%2."/>
      <w:lvlJc w:val="left"/>
      <w:pPr>
        <w:ind w:left="792" w:hanging="432"/>
      </w:pPr>
      <w:rPr>
        <w:b/>
      </w:rPr>
    </w:lvl>
    <w:lvl w:ilvl="2">
      <w:start w:val="1"/>
      <w:numFmt w:val="decimal"/>
      <w:lvlText w:val="-.%2.%3."/>
      <w:lvlJc w:val="left"/>
      <w:pPr>
        <w:ind w:left="1224" w:hanging="504"/>
      </w:pPr>
      <w:rPr>
        <w:b/>
      </w:rPr>
    </w:lvl>
    <w:lvl w:ilvl="3">
      <w:start w:val="1"/>
      <w:numFmt w:val="decimal"/>
      <w:lvlText w:val="-.%2.%3.%4."/>
      <w:lvlJc w:val="left"/>
      <w:pPr>
        <w:ind w:left="1728" w:hanging="647"/>
      </w:pPr>
      <w:rPr>
        <w:b/>
      </w:rPr>
    </w:lvl>
    <w:lvl w:ilvl="4">
      <w:start w:val="1"/>
      <w:numFmt w:val="decimal"/>
      <w:lvlText w:val="-.%2.%3.%4.%5."/>
      <w:lvlJc w:val="left"/>
      <w:pPr>
        <w:ind w:left="2232" w:hanging="792"/>
      </w:pPr>
      <w:rPr>
        <w:b/>
      </w:rPr>
    </w:lvl>
    <w:lvl w:ilvl="5">
      <w:start w:val="1"/>
      <w:numFmt w:val="decimal"/>
      <w:lvlText w:val="-.%2.%3.%4.%5.%6."/>
      <w:lvlJc w:val="left"/>
      <w:pPr>
        <w:ind w:left="2736" w:hanging="935"/>
      </w:pPr>
      <w:rPr>
        <w:b/>
      </w:rPr>
    </w:lvl>
    <w:lvl w:ilvl="6">
      <w:start w:val="1"/>
      <w:numFmt w:val="decimal"/>
      <w:lvlText w:val="-.%2.%3.%4.%5.%6.%7."/>
      <w:lvlJc w:val="left"/>
      <w:pPr>
        <w:ind w:left="3240" w:hanging="1080"/>
      </w:pPr>
      <w:rPr>
        <w:b/>
      </w:rPr>
    </w:lvl>
    <w:lvl w:ilvl="7">
      <w:start w:val="1"/>
      <w:numFmt w:val="decimal"/>
      <w:lvlText w:val="-.%2.%3.%4.%5.%6.%7.%8."/>
      <w:lvlJc w:val="left"/>
      <w:pPr>
        <w:ind w:left="3744" w:hanging="1224"/>
      </w:pPr>
      <w:rPr>
        <w:b/>
      </w:rPr>
    </w:lvl>
    <w:lvl w:ilvl="8">
      <w:start w:val="1"/>
      <w:numFmt w:val="decimal"/>
      <w:lvlText w:val="-.%2.%3.%4.%5.%6.%7.%8.%9."/>
      <w:lvlJc w:val="left"/>
      <w:pPr>
        <w:ind w:left="4320" w:hanging="1440"/>
      </w:pPr>
      <w:rPr>
        <w:b/>
      </w:rPr>
    </w:lvl>
  </w:abstractNum>
  <w:abstractNum w:abstractNumId="2" w15:restartNumberingAfterBreak="0">
    <w:nsid w:val="0F607F36"/>
    <w:multiLevelType w:val="multilevel"/>
    <w:tmpl w:val="A5868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Calibri" w:eastAsia="Calibri" w:hAnsi="Calibri" w:cs="Calibri"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E50A6"/>
    <w:multiLevelType w:val="multilevel"/>
    <w:tmpl w:val="54B0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0D2EC9"/>
    <w:multiLevelType w:val="hybridMultilevel"/>
    <w:tmpl w:val="1F2A0F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ED876C8"/>
    <w:multiLevelType w:val="multilevel"/>
    <w:tmpl w:val="70D038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C63493"/>
    <w:multiLevelType w:val="multilevel"/>
    <w:tmpl w:val="5F98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8E224E"/>
    <w:multiLevelType w:val="multilevel"/>
    <w:tmpl w:val="742AE132"/>
    <w:lvl w:ilvl="0">
      <w:start w:val="240"/>
      <w:numFmt w:val="bullet"/>
      <w:lvlText w:val="-"/>
      <w:lvlJc w:val="left"/>
      <w:pPr>
        <w:ind w:left="360" w:hanging="360"/>
      </w:pPr>
      <w:rPr>
        <w:rFonts w:ascii="Calibri" w:eastAsia="Calibri" w:hAnsi="Calibri" w:cs="Calibri"/>
        <w:b/>
      </w:rPr>
    </w:lvl>
    <w:lvl w:ilvl="1">
      <w:start w:val="1"/>
      <w:numFmt w:val="decimal"/>
      <w:lvlText w:val="-.%2."/>
      <w:lvlJc w:val="left"/>
      <w:pPr>
        <w:ind w:left="792" w:hanging="432"/>
      </w:pPr>
      <w:rPr>
        <w:b/>
      </w:rPr>
    </w:lvl>
    <w:lvl w:ilvl="2">
      <w:start w:val="1"/>
      <w:numFmt w:val="decimal"/>
      <w:lvlText w:val="-.%2.%3."/>
      <w:lvlJc w:val="left"/>
      <w:pPr>
        <w:ind w:left="1224" w:hanging="504"/>
      </w:pPr>
      <w:rPr>
        <w:b/>
      </w:rPr>
    </w:lvl>
    <w:lvl w:ilvl="3">
      <w:start w:val="1"/>
      <w:numFmt w:val="decimal"/>
      <w:lvlText w:val="-.%2.%3.%4."/>
      <w:lvlJc w:val="left"/>
      <w:pPr>
        <w:ind w:left="1728" w:hanging="647"/>
      </w:pPr>
      <w:rPr>
        <w:b/>
      </w:rPr>
    </w:lvl>
    <w:lvl w:ilvl="4">
      <w:start w:val="1"/>
      <w:numFmt w:val="decimal"/>
      <w:lvlText w:val="-.%2.%3.%4.%5."/>
      <w:lvlJc w:val="left"/>
      <w:pPr>
        <w:ind w:left="2232" w:hanging="792"/>
      </w:pPr>
      <w:rPr>
        <w:b/>
      </w:rPr>
    </w:lvl>
    <w:lvl w:ilvl="5">
      <w:start w:val="1"/>
      <w:numFmt w:val="decimal"/>
      <w:lvlText w:val="-.%2.%3.%4.%5.%6."/>
      <w:lvlJc w:val="left"/>
      <w:pPr>
        <w:ind w:left="2736" w:hanging="935"/>
      </w:pPr>
      <w:rPr>
        <w:b/>
      </w:rPr>
    </w:lvl>
    <w:lvl w:ilvl="6">
      <w:start w:val="1"/>
      <w:numFmt w:val="decimal"/>
      <w:lvlText w:val="-.%2.%3.%4.%5.%6.%7."/>
      <w:lvlJc w:val="left"/>
      <w:pPr>
        <w:ind w:left="3240" w:hanging="1080"/>
      </w:pPr>
      <w:rPr>
        <w:b/>
      </w:rPr>
    </w:lvl>
    <w:lvl w:ilvl="7">
      <w:start w:val="1"/>
      <w:numFmt w:val="decimal"/>
      <w:lvlText w:val="-.%2.%3.%4.%5.%6.%7.%8."/>
      <w:lvlJc w:val="left"/>
      <w:pPr>
        <w:ind w:left="3744" w:hanging="1224"/>
      </w:pPr>
      <w:rPr>
        <w:b/>
      </w:rPr>
    </w:lvl>
    <w:lvl w:ilvl="8">
      <w:start w:val="1"/>
      <w:numFmt w:val="decimal"/>
      <w:lvlText w:val="-.%2.%3.%4.%5.%6.%7.%8.%9."/>
      <w:lvlJc w:val="left"/>
      <w:pPr>
        <w:ind w:left="4320" w:hanging="1440"/>
      </w:pPr>
      <w:rPr>
        <w:b/>
      </w:rPr>
    </w:lvl>
  </w:abstractNum>
  <w:abstractNum w:abstractNumId="8" w15:restartNumberingAfterBreak="0">
    <w:nsid w:val="298E64F1"/>
    <w:multiLevelType w:val="hybridMultilevel"/>
    <w:tmpl w:val="ED2C62B8"/>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9" w15:restartNumberingAfterBreak="0">
    <w:nsid w:val="30880775"/>
    <w:multiLevelType w:val="multilevel"/>
    <w:tmpl w:val="ABE85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9F4518"/>
    <w:multiLevelType w:val="multilevel"/>
    <w:tmpl w:val="BCB60DF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25F677A"/>
    <w:multiLevelType w:val="multilevel"/>
    <w:tmpl w:val="0944D8E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7"/>
      </w:pPr>
      <w:rPr>
        <w:b/>
      </w:rPr>
    </w:lvl>
    <w:lvl w:ilvl="4">
      <w:start w:val="1"/>
      <w:numFmt w:val="decimal"/>
      <w:lvlText w:val="%1.%2.%3.%4.%5."/>
      <w:lvlJc w:val="left"/>
      <w:pPr>
        <w:ind w:left="2232" w:hanging="792"/>
      </w:pPr>
      <w:rPr>
        <w:b/>
      </w:rPr>
    </w:lvl>
    <w:lvl w:ilvl="5">
      <w:start w:val="1"/>
      <w:numFmt w:val="decimal"/>
      <w:lvlText w:val="%1.%2.%3.%4.%5.%6."/>
      <w:lvlJc w:val="left"/>
      <w:pPr>
        <w:ind w:left="2736" w:hanging="935"/>
      </w:pPr>
      <w:rPr>
        <w:b/>
      </w:rPr>
    </w:lvl>
    <w:lvl w:ilvl="6">
      <w:start w:val="1"/>
      <w:numFmt w:val="decimal"/>
      <w:lvlText w:val="%1.%2.%3.%4.%5.%6.%7."/>
      <w:lvlJc w:val="left"/>
      <w:pPr>
        <w:ind w:left="3240" w:hanging="1080"/>
      </w:pPr>
      <w:rPr>
        <w:b/>
      </w:rPr>
    </w:lvl>
    <w:lvl w:ilvl="7">
      <w:start w:val="1"/>
      <w:numFmt w:val="decimal"/>
      <w:lvlText w:val="%1.%2.%3.%4.%5.%6.%7.%8."/>
      <w:lvlJc w:val="left"/>
      <w:pPr>
        <w:ind w:left="3744" w:hanging="1224"/>
      </w:pPr>
      <w:rPr>
        <w:b/>
      </w:rPr>
    </w:lvl>
    <w:lvl w:ilvl="8">
      <w:start w:val="1"/>
      <w:numFmt w:val="decimal"/>
      <w:lvlText w:val="%1.%2.%3.%4.%5.%6.%7.%8.%9."/>
      <w:lvlJc w:val="left"/>
      <w:pPr>
        <w:ind w:left="4320" w:hanging="1440"/>
      </w:pPr>
      <w:rPr>
        <w:b/>
      </w:rPr>
    </w:lvl>
  </w:abstractNum>
  <w:abstractNum w:abstractNumId="12" w15:restartNumberingAfterBreak="0">
    <w:nsid w:val="4A1247D8"/>
    <w:multiLevelType w:val="multilevel"/>
    <w:tmpl w:val="CE004DD0"/>
    <w:lvl w:ilvl="0">
      <w:start w:val="24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4E36304"/>
    <w:multiLevelType w:val="multilevel"/>
    <w:tmpl w:val="95543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B34EA3"/>
    <w:multiLevelType w:val="multilevel"/>
    <w:tmpl w:val="1CA0A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F85E31"/>
    <w:multiLevelType w:val="multilevel"/>
    <w:tmpl w:val="86F01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FE613F"/>
    <w:multiLevelType w:val="hybridMultilevel"/>
    <w:tmpl w:val="D6D4290A"/>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7" w15:restartNumberingAfterBreak="0">
    <w:nsid w:val="5961323E"/>
    <w:multiLevelType w:val="hybridMultilevel"/>
    <w:tmpl w:val="475AD002"/>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8" w15:restartNumberingAfterBreak="0">
    <w:nsid w:val="65BE0915"/>
    <w:multiLevelType w:val="hybridMultilevel"/>
    <w:tmpl w:val="2F423E7A"/>
    <w:lvl w:ilvl="0" w:tplc="3C0A0001">
      <w:start w:val="1"/>
      <w:numFmt w:val="bullet"/>
      <w:lvlText w:val=""/>
      <w:lvlJc w:val="left"/>
      <w:pPr>
        <w:ind w:left="720" w:hanging="360"/>
      </w:pPr>
      <w:rPr>
        <w:rFonts w:ascii="Symbol" w:hAnsi="Symbol" w:hint="default"/>
      </w:rPr>
    </w:lvl>
    <w:lvl w:ilvl="1" w:tplc="3C0A0003" w:tentative="1">
      <w:start w:val="1"/>
      <w:numFmt w:val="bullet"/>
      <w:lvlText w:val="o"/>
      <w:lvlJc w:val="left"/>
      <w:pPr>
        <w:ind w:left="1440" w:hanging="360"/>
      </w:pPr>
      <w:rPr>
        <w:rFonts w:ascii="Courier New" w:hAnsi="Courier New" w:cs="Courier New" w:hint="default"/>
      </w:rPr>
    </w:lvl>
    <w:lvl w:ilvl="2" w:tplc="3C0A0005" w:tentative="1">
      <w:start w:val="1"/>
      <w:numFmt w:val="bullet"/>
      <w:lvlText w:val=""/>
      <w:lvlJc w:val="left"/>
      <w:pPr>
        <w:ind w:left="2160" w:hanging="360"/>
      </w:pPr>
      <w:rPr>
        <w:rFonts w:ascii="Wingdings" w:hAnsi="Wingdings" w:hint="default"/>
      </w:rPr>
    </w:lvl>
    <w:lvl w:ilvl="3" w:tplc="3C0A0001" w:tentative="1">
      <w:start w:val="1"/>
      <w:numFmt w:val="bullet"/>
      <w:lvlText w:val=""/>
      <w:lvlJc w:val="left"/>
      <w:pPr>
        <w:ind w:left="2880" w:hanging="360"/>
      </w:pPr>
      <w:rPr>
        <w:rFonts w:ascii="Symbol" w:hAnsi="Symbol" w:hint="default"/>
      </w:rPr>
    </w:lvl>
    <w:lvl w:ilvl="4" w:tplc="3C0A0003" w:tentative="1">
      <w:start w:val="1"/>
      <w:numFmt w:val="bullet"/>
      <w:lvlText w:val="o"/>
      <w:lvlJc w:val="left"/>
      <w:pPr>
        <w:ind w:left="3600" w:hanging="360"/>
      </w:pPr>
      <w:rPr>
        <w:rFonts w:ascii="Courier New" w:hAnsi="Courier New" w:cs="Courier New" w:hint="default"/>
      </w:rPr>
    </w:lvl>
    <w:lvl w:ilvl="5" w:tplc="3C0A0005" w:tentative="1">
      <w:start w:val="1"/>
      <w:numFmt w:val="bullet"/>
      <w:lvlText w:val=""/>
      <w:lvlJc w:val="left"/>
      <w:pPr>
        <w:ind w:left="4320" w:hanging="360"/>
      </w:pPr>
      <w:rPr>
        <w:rFonts w:ascii="Wingdings" w:hAnsi="Wingdings" w:hint="default"/>
      </w:rPr>
    </w:lvl>
    <w:lvl w:ilvl="6" w:tplc="3C0A0001" w:tentative="1">
      <w:start w:val="1"/>
      <w:numFmt w:val="bullet"/>
      <w:lvlText w:val=""/>
      <w:lvlJc w:val="left"/>
      <w:pPr>
        <w:ind w:left="5040" w:hanging="360"/>
      </w:pPr>
      <w:rPr>
        <w:rFonts w:ascii="Symbol" w:hAnsi="Symbol" w:hint="default"/>
      </w:rPr>
    </w:lvl>
    <w:lvl w:ilvl="7" w:tplc="3C0A0003" w:tentative="1">
      <w:start w:val="1"/>
      <w:numFmt w:val="bullet"/>
      <w:lvlText w:val="o"/>
      <w:lvlJc w:val="left"/>
      <w:pPr>
        <w:ind w:left="5760" w:hanging="360"/>
      </w:pPr>
      <w:rPr>
        <w:rFonts w:ascii="Courier New" w:hAnsi="Courier New" w:cs="Courier New" w:hint="default"/>
      </w:rPr>
    </w:lvl>
    <w:lvl w:ilvl="8" w:tplc="3C0A0005" w:tentative="1">
      <w:start w:val="1"/>
      <w:numFmt w:val="bullet"/>
      <w:lvlText w:val=""/>
      <w:lvlJc w:val="left"/>
      <w:pPr>
        <w:ind w:left="6480" w:hanging="360"/>
      </w:pPr>
      <w:rPr>
        <w:rFonts w:ascii="Wingdings" w:hAnsi="Wingdings" w:hint="default"/>
      </w:rPr>
    </w:lvl>
  </w:abstractNum>
  <w:abstractNum w:abstractNumId="19" w15:restartNumberingAfterBreak="0">
    <w:nsid w:val="665B0F09"/>
    <w:multiLevelType w:val="hybridMultilevel"/>
    <w:tmpl w:val="E098C55A"/>
    <w:lvl w:ilvl="0" w:tplc="3C0A000F">
      <w:start w:val="1"/>
      <w:numFmt w:val="decimal"/>
      <w:lvlText w:val="%1."/>
      <w:lvlJc w:val="left"/>
      <w:pPr>
        <w:ind w:left="780" w:hanging="360"/>
      </w:pPr>
    </w:lvl>
    <w:lvl w:ilvl="1" w:tplc="3C0A0019" w:tentative="1">
      <w:start w:val="1"/>
      <w:numFmt w:val="lowerLetter"/>
      <w:lvlText w:val="%2."/>
      <w:lvlJc w:val="left"/>
      <w:pPr>
        <w:ind w:left="1500" w:hanging="360"/>
      </w:pPr>
    </w:lvl>
    <w:lvl w:ilvl="2" w:tplc="3C0A001B" w:tentative="1">
      <w:start w:val="1"/>
      <w:numFmt w:val="lowerRoman"/>
      <w:lvlText w:val="%3."/>
      <w:lvlJc w:val="right"/>
      <w:pPr>
        <w:ind w:left="2220" w:hanging="180"/>
      </w:pPr>
    </w:lvl>
    <w:lvl w:ilvl="3" w:tplc="3C0A000F" w:tentative="1">
      <w:start w:val="1"/>
      <w:numFmt w:val="decimal"/>
      <w:lvlText w:val="%4."/>
      <w:lvlJc w:val="left"/>
      <w:pPr>
        <w:ind w:left="2940" w:hanging="360"/>
      </w:pPr>
    </w:lvl>
    <w:lvl w:ilvl="4" w:tplc="3C0A0019" w:tentative="1">
      <w:start w:val="1"/>
      <w:numFmt w:val="lowerLetter"/>
      <w:lvlText w:val="%5."/>
      <w:lvlJc w:val="left"/>
      <w:pPr>
        <w:ind w:left="3660" w:hanging="360"/>
      </w:pPr>
    </w:lvl>
    <w:lvl w:ilvl="5" w:tplc="3C0A001B" w:tentative="1">
      <w:start w:val="1"/>
      <w:numFmt w:val="lowerRoman"/>
      <w:lvlText w:val="%6."/>
      <w:lvlJc w:val="right"/>
      <w:pPr>
        <w:ind w:left="4380" w:hanging="180"/>
      </w:pPr>
    </w:lvl>
    <w:lvl w:ilvl="6" w:tplc="3C0A000F" w:tentative="1">
      <w:start w:val="1"/>
      <w:numFmt w:val="decimal"/>
      <w:lvlText w:val="%7."/>
      <w:lvlJc w:val="left"/>
      <w:pPr>
        <w:ind w:left="5100" w:hanging="360"/>
      </w:pPr>
    </w:lvl>
    <w:lvl w:ilvl="7" w:tplc="3C0A0019" w:tentative="1">
      <w:start w:val="1"/>
      <w:numFmt w:val="lowerLetter"/>
      <w:lvlText w:val="%8."/>
      <w:lvlJc w:val="left"/>
      <w:pPr>
        <w:ind w:left="5820" w:hanging="360"/>
      </w:pPr>
    </w:lvl>
    <w:lvl w:ilvl="8" w:tplc="3C0A001B" w:tentative="1">
      <w:start w:val="1"/>
      <w:numFmt w:val="lowerRoman"/>
      <w:lvlText w:val="%9."/>
      <w:lvlJc w:val="right"/>
      <w:pPr>
        <w:ind w:left="6540" w:hanging="180"/>
      </w:pPr>
    </w:lvl>
  </w:abstractNum>
  <w:abstractNum w:abstractNumId="20" w15:restartNumberingAfterBreak="0">
    <w:nsid w:val="700C46D3"/>
    <w:multiLevelType w:val="hybridMultilevel"/>
    <w:tmpl w:val="C2D26C56"/>
    <w:lvl w:ilvl="0" w:tplc="3C0A0001">
      <w:start w:val="1"/>
      <w:numFmt w:val="bullet"/>
      <w:lvlText w:val=""/>
      <w:lvlJc w:val="left"/>
      <w:pPr>
        <w:ind w:left="1080" w:hanging="360"/>
      </w:pPr>
      <w:rPr>
        <w:rFonts w:ascii="Symbol" w:hAnsi="Symbol" w:hint="default"/>
      </w:rPr>
    </w:lvl>
    <w:lvl w:ilvl="1" w:tplc="3C0A0003" w:tentative="1">
      <w:start w:val="1"/>
      <w:numFmt w:val="bullet"/>
      <w:lvlText w:val="o"/>
      <w:lvlJc w:val="left"/>
      <w:pPr>
        <w:ind w:left="1800" w:hanging="360"/>
      </w:pPr>
      <w:rPr>
        <w:rFonts w:ascii="Courier New" w:hAnsi="Courier New" w:cs="Courier New" w:hint="default"/>
      </w:rPr>
    </w:lvl>
    <w:lvl w:ilvl="2" w:tplc="3C0A0005" w:tentative="1">
      <w:start w:val="1"/>
      <w:numFmt w:val="bullet"/>
      <w:lvlText w:val=""/>
      <w:lvlJc w:val="left"/>
      <w:pPr>
        <w:ind w:left="2520" w:hanging="360"/>
      </w:pPr>
      <w:rPr>
        <w:rFonts w:ascii="Wingdings" w:hAnsi="Wingdings" w:hint="default"/>
      </w:rPr>
    </w:lvl>
    <w:lvl w:ilvl="3" w:tplc="3C0A0001" w:tentative="1">
      <w:start w:val="1"/>
      <w:numFmt w:val="bullet"/>
      <w:lvlText w:val=""/>
      <w:lvlJc w:val="left"/>
      <w:pPr>
        <w:ind w:left="3240" w:hanging="360"/>
      </w:pPr>
      <w:rPr>
        <w:rFonts w:ascii="Symbol" w:hAnsi="Symbol" w:hint="default"/>
      </w:rPr>
    </w:lvl>
    <w:lvl w:ilvl="4" w:tplc="3C0A0003" w:tentative="1">
      <w:start w:val="1"/>
      <w:numFmt w:val="bullet"/>
      <w:lvlText w:val="o"/>
      <w:lvlJc w:val="left"/>
      <w:pPr>
        <w:ind w:left="3960" w:hanging="360"/>
      </w:pPr>
      <w:rPr>
        <w:rFonts w:ascii="Courier New" w:hAnsi="Courier New" w:cs="Courier New" w:hint="default"/>
      </w:rPr>
    </w:lvl>
    <w:lvl w:ilvl="5" w:tplc="3C0A0005" w:tentative="1">
      <w:start w:val="1"/>
      <w:numFmt w:val="bullet"/>
      <w:lvlText w:val=""/>
      <w:lvlJc w:val="left"/>
      <w:pPr>
        <w:ind w:left="4680" w:hanging="360"/>
      </w:pPr>
      <w:rPr>
        <w:rFonts w:ascii="Wingdings" w:hAnsi="Wingdings" w:hint="default"/>
      </w:rPr>
    </w:lvl>
    <w:lvl w:ilvl="6" w:tplc="3C0A0001" w:tentative="1">
      <w:start w:val="1"/>
      <w:numFmt w:val="bullet"/>
      <w:lvlText w:val=""/>
      <w:lvlJc w:val="left"/>
      <w:pPr>
        <w:ind w:left="5400" w:hanging="360"/>
      </w:pPr>
      <w:rPr>
        <w:rFonts w:ascii="Symbol" w:hAnsi="Symbol" w:hint="default"/>
      </w:rPr>
    </w:lvl>
    <w:lvl w:ilvl="7" w:tplc="3C0A0003" w:tentative="1">
      <w:start w:val="1"/>
      <w:numFmt w:val="bullet"/>
      <w:lvlText w:val="o"/>
      <w:lvlJc w:val="left"/>
      <w:pPr>
        <w:ind w:left="6120" w:hanging="360"/>
      </w:pPr>
      <w:rPr>
        <w:rFonts w:ascii="Courier New" w:hAnsi="Courier New" w:cs="Courier New" w:hint="default"/>
      </w:rPr>
    </w:lvl>
    <w:lvl w:ilvl="8" w:tplc="3C0A0005" w:tentative="1">
      <w:start w:val="1"/>
      <w:numFmt w:val="bullet"/>
      <w:lvlText w:val=""/>
      <w:lvlJc w:val="left"/>
      <w:pPr>
        <w:ind w:left="6840" w:hanging="360"/>
      </w:pPr>
      <w:rPr>
        <w:rFonts w:ascii="Wingdings" w:hAnsi="Wingdings" w:hint="default"/>
      </w:rPr>
    </w:lvl>
  </w:abstractNum>
  <w:abstractNum w:abstractNumId="21" w15:restartNumberingAfterBreak="0">
    <w:nsid w:val="758407A1"/>
    <w:multiLevelType w:val="hybridMultilevel"/>
    <w:tmpl w:val="933CE958"/>
    <w:lvl w:ilvl="0" w:tplc="3C0A0001">
      <w:start w:val="1"/>
      <w:numFmt w:val="bullet"/>
      <w:lvlText w:val=""/>
      <w:lvlJc w:val="left"/>
      <w:pPr>
        <w:ind w:left="1080" w:hanging="360"/>
      </w:pPr>
      <w:rPr>
        <w:rFonts w:ascii="Symbol" w:hAnsi="Symbol" w:hint="default"/>
      </w:rPr>
    </w:lvl>
    <w:lvl w:ilvl="1" w:tplc="3C0A0003" w:tentative="1">
      <w:start w:val="1"/>
      <w:numFmt w:val="bullet"/>
      <w:lvlText w:val="o"/>
      <w:lvlJc w:val="left"/>
      <w:pPr>
        <w:ind w:left="1800" w:hanging="360"/>
      </w:pPr>
      <w:rPr>
        <w:rFonts w:ascii="Courier New" w:hAnsi="Courier New" w:cs="Courier New" w:hint="default"/>
      </w:rPr>
    </w:lvl>
    <w:lvl w:ilvl="2" w:tplc="3C0A0005" w:tentative="1">
      <w:start w:val="1"/>
      <w:numFmt w:val="bullet"/>
      <w:lvlText w:val=""/>
      <w:lvlJc w:val="left"/>
      <w:pPr>
        <w:ind w:left="2520" w:hanging="360"/>
      </w:pPr>
      <w:rPr>
        <w:rFonts w:ascii="Wingdings" w:hAnsi="Wingdings" w:hint="default"/>
      </w:rPr>
    </w:lvl>
    <w:lvl w:ilvl="3" w:tplc="3C0A0001" w:tentative="1">
      <w:start w:val="1"/>
      <w:numFmt w:val="bullet"/>
      <w:lvlText w:val=""/>
      <w:lvlJc w:val="left"/>
      <w:pPr>
        <w:ind w:left="3240" w:hanging="360"/>
      </w:pPr>
      <w:rPr>
        <w:rFonts w:ascii="Symbol" w:hAnsi="Symbol" w:hint="default"/>
      </w:rPr>
    </w:lvl>
    <w:lvl w:ilvl="4" w:tplc="3C0A0003" w:tentative="1">
      <w:start w:val="1"/>
      <w:numFmt w:val="bullet"/>
      <w:lvlText w:val="o"/>
      <w:lvlJc w:val="left"/>
      <w:pPr>
        <w:ind w:left="3960" w:hanging="360"/>
      </w:pPr>
      <w:rPr>
        <w:rFonts w:ascii="Courier New" w:hAnsi="Courier New" w:cs="Courier New" w:hint="default"/>
      </w:rPr>
    </w:lvl>
    <w:lvl w:ilvl="5" w:tplc="3C0A0005" w:tentative="1">
      <w:start w:val="1"/>
      <w:numFmt w:val="bullet"/>
      <w:lvlText w:val=""/>
      <w:lvlJc w:val="left"/>
      <w:pPr>
        <w:ind w:left="4680" w:hanging="360"/>
      </w:pPr>
      <w:rPr>
        <w:rFonts w:ascii="Wingdings" w:hAnsi="Wingdings" w:hint="default"/>
      </w:rPr>
    </w:lvl>
    <w:lvl w:ilvl="6" w:tplc="3C0A0001" w:tentative="1">
      <w:start w:val="1"/>
      <w:numFmt w:val="bullet"/>
      <w:lvlText w:val=""/>
      <w:lvlJc w:val="left"/>
      <w:pPr>
        <w:ind w:left="5400" w:hanging="360"/>
      </w:pPr>
      <w:rPr>
        <w:rFonts w:ascii="Symbol" w:hAnsi="Symbol" w:hint="default"/>
      </w:rPr>
    </w:lvl>
    <w:lvl w:ilvl="7" w:tplc="3C0A0003" w:tentative="1">
      <w:start w:val="1"/>
      <w:numFmt w:val="bullet"/>
      <w:lvlText w:val="o"/>
      <w:lvlJc w:val="left"/>
      <w:pPr>
        <w:ind w:left="6120" w:hanging="360"/>
      </w:pPr>
      <w:rPr>
        <w:rFonts w:ascii="Courier New" w:hAnsi="Courier New" w:cs="Courier New" w:hint="default"/>
      </w:rPr>
    </w:lvl>
    <w:lvl w:ilvl="8" w:tplc="3C0A0005" w:tentative="1">
      <w:start w:val="1"/>
      <w:numFmt w:val="bullet"/>
      <w:lvlText w:val=""/>
      <w:lvlJc w:val="left"/>
      <w:pPr>
        <w:ind w:left="6840" w:hanging="360"/>
      </w:pPr>
      <w:rPr>
        <w:rFonts w:ascii="Wingdings" w:hAnsi="Wingdings" w:hint="default"/>
      </w:rPr>
    </w:lvl>
  </w:abstractNum>
  <w:abstractNum w:abstractNumId="22" w15:restartNumberingAfterBreak="0">
    <w:nsid w:val="76A03799"/>
    <w:multiLevelType w:val="multilevel"/>
    <w:tmpl w:val="5A1A1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4769910">
    <w:abstractNumId w:val="12"/>
  </w:num>
  <w:num w:numId="2" w16cid:durableId="1310747796">
    <w:abstractNumId w:val="1"/>
  </w:num>
  <w:num w:numId="3" w16cid:durableId="336345116">
    <w:abstractNumId w:val="7"/>
  </w:num>
  <w:num w:numId="4" w16cid:durableId="1307515295">
    <w:abstractNumId w:val="10"/>
  </w:num>
  <w:num w:numId="5" w16cid:durableId="1738701831">
    <w:abstractNumId w:val="11"/>
  </w:num>
  <w:num w:numId="6" w16cid:durableId="536507029">
    <w:abstractNumId w:val="17"/>
  </w:num>
  <w:num w:numId="7" w16cid:durableId="895048556">
    <w:abstractNumId w:val="14"/>
  </w:num>
  <w:num w:numId="8" w16cid:durableId="1430539843">
    <w:abstractNumId w:val="22"/>
  </w:num>
  <w:num w:numId="9" w16cid:durableId="1621451754">
    <w:abstractNumId w:val="5"/>
  </w:num>
  <w:num w:numId="10" w16cid:durableId="1615944961">
    <w:abstractNumId w:val="21"/>
  </w:num>
  <w:num w:numId="11" w16cid:durableId="2108306196">
    <w:abstractNumId w:val="2"/>
  </w:num>
  <w:num w:numId="12" w16cid:durableId="1811899748">
    <w:abstractNumId w:val="15"/>
  </w:num>
  <w:num w:numId="13" w16cid:durableId="1939828157">
    <w:abstractNumId w:val="9"/>
  </w:num>
  <w:num w:numId="14" w16cid:durableId="69468728">
    <w:abstractNumId w:val="13"/>
  </w:num>
  <w:num w:numId="15" w16cid:durableId="1404646177">
    <w:abstractNumId w:val="3"/>
  </w:num>
  <w:num w:numId="16" w16cid:durableId="599143270">
    <w:abstractNumId w:val="6"/>
  </w:num>
  <w:num w:numId="17" w16cid:durableId="1095790072">
    <w:abstractNumId w:val="0"/>
  </w:num>
  <w:num w:numId="18" w16cid:durableId="599678652">
    <w:abstractNumId w:val="20"/>
  </w:num>
  <w:num w:numId="19" w16cid:durableId="1135877479">
    <w:abstractNumId w:val="8"/>
  </w:num>
  <w:num w:numId="20" w16cid:durableId="1967543960">
    <w:abstractNumId w:val="16"/>
  </w:num>
  <w:num w:numId="21" w16cid:durableId="1548251936">
    <w:abstractNumId w:val="18"/>
  </w:num>
  <w:num w:numId="22" w16cid:durableId="64885750">
    <w:abstractNumId w:val="19"/>
  </w:num>
  <w:num w:numId="23" w16cid:durableId="11529902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D7C"/>
    <w:rsid w:val="00002E82"/>
    <w:rsid w:val="0001390B"/>
    <w:rsid w:val="00013B59"/>
    <w:rsid w:val="00015A7C"/>
    <w:rsid w:val="000354B7"/>
    <w:rsid w:val="00037874"/>
    <w:rsid w:val="00056746"/>
    <w:rsid w:val="000621A9"/>
    <w:rsid w:val="000632E5"/>
    <w:rsid w:val="000737BD"/>
    <w:rsid w:val="00075EED"/>
    <w:rsid w:val="00092689"/>
    <w:rsid w:val="000A49EE"/>
    <w:rsid w:val="000B4F21"/>
    <w:rsid w:val="000C1A79"/>
    <w:rsid w:val="000C5F51"/>
    <w:rsid w:val="000C64EA"/>
    <w:rsid w:val="000E1751"/>
    <w:rsid w:val="000F78B2"/>
    <w:rsid w:val="00100147"/>
    <w:rsid w:val="00117059"/>
    <w:rsid w:val="00123720"/>
    <w:rsid w:val="00143DA2"/>
    <w:rsid w:val="0015087D"/>
    <w:rsid w:val="001813A7"/>
    <w:rsid w:val="00181A1E"/>
    <w:rsid w:val="00181BBD"/>
    <w:rsid w:val="001858D3"/>
    <w:rsid w:val="00190A48"/>
    <w:rsid w:val="00194B84"/>
    <w:rsid w:val="00197D7C"/>
    <w:rsid w:val="001A3B7D"/>
    <w:rsid w:val="001A4786"/>
    <w:rsid w:val="001A50F6"/>
    <w:rsid w:val="001A7E29"/>
    <w:rsid w:val="001B38A6"/>
    <w:rsid w:val="001B7161"/>
    <w:rsid w:val="001F0764"/>
    <w:rsid w:val="00201FF5"/>
    <w:rsid w:val="00202B3F"/>
    <w:rsid w:val="002208E4"/>
    <w:rsid w:val="00223318"/>
    <w:rsid w:val="002318B8"/>
    <w:rsid w:val="00270384"/>
    <w:rsid w:val="00271D41"/>
    <w:rsid w:val="00277E3F"/>
    <w:rsid w:val="002B5CAA"/>
    <w:rsid w:val="002E0294"/>
    <w:rsid w:val="002E34A1"/>
    <w:rsid w:val="00306239"/>
    <w:rsid w:val="00310547"/>
    <w:rsid w:val="00315B5E"/>
    <w:rsid w:val="00316C4F"/>
    <w:rsid w:val="0031780C"/>
    <w:rsid w:val="0032131E"/>
    <w:rsid w:val="00330D29"/>
    <w:rsid w:val="0034555A"/>
    <w:rsid w:val="00351FCE"/>
    <w:rsid w:val="00356B70"/>
    <w:rsid w:val="003606E0"/>
    <w:rsid w:val="003964A7"/>
    <w:rsid w:val="003A090E"/>
    <w:rsid w:val="003A251E"/>
    <w:rsid w:val="003C04C2"/>
    <w:rsid w:val="003C0B35"/>
    <w:rsid w:val="003D735D"/>
    <w:rsid w:val="003E0C75"/>
    <w:rsid w:val="003F0CC0"/>
    <w:rsid w:val="003F5ABF"/>
    <w:rsid w:val="004132E0"/>
    <w:rsid w:val="0045194E"/>
    <w:rsid w:val="0045560B"/>
    <w:rsid w:val="004607B0"/>
    <w:rsid w:val="00460F37"/>
    <w:rsid w:val="00473AF5"/>
    <w:rsid w:val="00475692"/>
    <w:rsid w:val="00482789"/>
    <w:rsid w:val="00485A6C"/>
    <w:rsid w:val="004D5EEE"/>
    <w:rsid w:val="004E1C5F"/>
    <w:rsid w:val="004F242F"/>
    <w:rsid w:val="00521A22"/>
    <w:rsid w:val="00525E15"/>
    <w:rsid w:val="0053623D"/>
    <w:rsid w:val="005364A5"/>
    <w:rsid w:val="0054023D"/>
    <w:rsid w:val="00546F4F"/>
    <w:rsid w:val="0055016A"/>
    <w:rsid w:val="00556538"/>
    <w:rsid w:val="005565EE"/>
    <w:rsid w:val="005616A0"/>
    <w:rsid w:val="005620E5"/>
    <w:rsid w:val="005A417E"/>
    <w:rsid w:val="005A4A6A"/>
    <w:rsid w:val="005B0BCA"/>
    <w:rsid w:val="005C169A"/>
    <w:rsid w:val="005C466D"/>
    <w:rsid w:val="005C63B9"/>
    <w:rsid w:val="005D59CE"/>
    <w:rsid w:val="005E2486"/>
    <w:rsid w:val="005F4EE6"/>
    <w:rsid w:val="005F7B4A"/>
    <w:rsid w:val="00622E8B"/>
    <w:rsid w:val="00623102"/>
    <w:rsid w:val="0062368E"/>
    <w:rsid w:val="00626DFA"/>
    <w:rsid w:val="00626E01"/>
    <w:rsid w:val="00630256"/>
    <w:rsid w:val="006476A2"/>
    <w:rsid w:val="00653078"/>
    <w:rsid w:val="0066152C"/>
    <w:rsid w:val="00670F76"/>
    <w:rsid w:val="00677AC0"/>
    <w:rsid w:val="006C0EB4"/>
    <w:rsid w:val="006D2602"/>
    <w:rsid w:val="006D4D0C"/>
    <w:rsid w:val="006E4E55"/>
    <w:rsid w:val="006E7C67"/>
    <w:rsid w:val="006F3AA6"/>
    <w:rsid w:val="007513E6"/>
    <w:rsid w:val="00753902"/>
    <w:rsid w:val="00755B2A"/>
    <w:rsid w:val="007625A0"/>
    <w:rsid w:val="00770A64"/>
    <w:rsid w:val="00780BAE"/>
    <w:rsid w:val="00784474"/>
    <w:rsid w:val="007845D8"/>
    <w:rsid w:val="00792A5A"/>
    <w:rsid w:val="007A42D0"/>
    <w:rsid w:val="007A504F"/>
    <w:rsid w:val="007A5375"/>
    <w:rsid w:val="007B0630"/>
    <w:rsid w:val="007B20C4"/>
    <w:rsid w:val="007B5180"/>
    <w:rsid w:val="007C2424"/>
    <w:rsid w:val="007D4370"/>
    <w:rsid w:val="007D63C0"/>
    <w:rsid w:val="007D6A50"/>
    <w:rsid w:val="007E27DE"/>
    <w:rsid w:val="007E7178"/>
    <w:rsid w:val="007F29D9"/>
    <w:rsid w:val="007F70FC"/>
    <w:rsid w:val="00800136"/>
    <w:rsid w:val="00800637"/>
    <w:rsid w:val="00801D98"/>
    <w:rsid w:val="0080464D"/>
    <w:rsid w:val="00804EBF"/>
    <w:rsid w:val="00805A69"/>
    <w:rsid w:val="008060CC"/>
    <w:rsid w:val="00807EAD"/>
    <w:rsid w:val="008126F3"/>
    <w:rsid w:val="00815C47"/>
    <w:rsid w:val="008328CF"/>
    <w:rsid w:val="0083346F"/>
    <w:rsid w:val="0083385B"/>
    <w:rsid w:val="00836D89"/>
    <w:rsid w:val="0083739E"/>
    <w:rsid w:val="00837A77"/>
    <w:rsid w:val="00844DEE"/>
    <w:rsid w:val="00853C4F"/>
    <w:rsid w:val="00863CB7"/>
    <w:rsid w:val="00874E78"/>
    <w:rsid w:val="00885653"/>
    <w:rsid w:val="00892050"/>
    <w:rsid w:val="008A0677"/>
    <w:rsid w:val="008A270B"/>
    <w:rsid w:val="008B5B54"/>
    <w:rsid w:val="008C5806"/>
    <w:rsid w:val="008D0C01"/>
    <w:rsid w:val="008D499A"/>
    <w:rsid w:val="008E789B"/>
    <w:rsid w:val="00901DD0"/>
    <w:rsid w:val="00903F37"/>
    <w:rsid w:val="0092251A"/>
    <w:rsid w:val="00927911"/>
    <w:rsid w:val="0094223A"/>
    <w:rsid w:val="00943035"/>
    <w:rsid w:val="00961EE0"/>
    <w:rsid w:val="009639F9"/>
    <w:rsid w:val="0096743E"/>
    <w:rsid w:val="00967F18"/>
    <w:rsid w:val="00973013"/>
    <w:rsid w:val="00997AEC"/>
    <w:rsid w:val="009A74BC"/>
    <w:rsid w:val="009D6790"/>
    <w:rsid w:val="009E5030"/>
    <w:rsid w:val="00A13339"/>
    <w:rsid w:val="00A17F03"/>
    <w:rsid w:val="00A24269"/>
    <w:rsid w:val="00A27246"/>
    <w:rsid w:val="00A44B87"/>
    <w:rsid w:val="00A6124A"/>
    <w:rsid w:val="00A63041"/>
    <w:rsid w:val="00A6329D"/>
    <w:rsid w:val="00A66583"/>
    <w:rsid w:val="00A73735"/>
    <w:rsid w:val="00A74AE4"/>
    <w:rsid w:val="00AB64DA"/>
    <w:rsid w:val="00AD1ADD"/>
    <w:rsid w:val="00AE1C8D"/>
    <w:rsid w:val="00AF385C"/>
    <w:rsid w:val="00AF574E"/>
    <w:rsid w:val="00B02B4C"/>
    <w:rsid w:val="00B03CFD"/>
    <w:rsid w:val="00B11E3B"/>
    <w:rsid w:val="00B256F2"/>
    <w:rsid w:val="00B377FE"/>
    <w:rsid w:val="00B40674"/>
    <w:rsid w:val="00B5609E"/>
    <w:rsid w:val="00B74F98"/>
    <w:rsid w:val="00B807B9"/>
    <w:rsid w:val="00B85F27"/>
    <w:rsid w:val="00BA0E09"/>
    <w:rsid w:val="00BA4E9C"/>
    <w:rsid w:val="00BB2DE0"/>
    <w:rsid w:val="00BB72A3"/>
    <w:rsid w:val="00BB78A9"/>
    <w:rsid w:val="00BD1DE5"/>
    <w:rsid w:val="00BD49F8"/>
    <w:rsid w:val="00BE3FD9"/>
    <w:rsid w:val="00BF5A20"/>
    <w:rsid w:val="00BF69A0"/>
    <w:rsid w:val="00C07BA6"/>
    <w:rsid w:val="00C32B63"/>
    <w:rsid w:val="00C45CC6"/>
    <w:rsid w:val="00C64700"/>
    <w:rsid w:val="00C74CF2"/>
    <w:rsid w:val="00C7751F"/>
    <w:rsid w:val="00C829F3"/>
    <w:rsid w:val="00C94E7B"/>
    <w:rsid w:val="00CA6C37"/>
    <w:rsid w:val="00CB3E07"/>
    <w:rsid w:val="00CB7B00"/>
    <w:rsid w:val="00CC76B9"/>
    <w:rsid w:val="00CF0F9C"/>
    <w:rsid w:val="00D07A82"/>
    <w:rsid w:val="00D109D1"/>
    <w:rsid w:val="00D1409B"/>
    <w:rsid w:val="00D152F4"/>
    <w:rsid w:val="00D273BC"/>
    <w:rsid w:val="00D62767"/>
    <w:rsid w:val="00D65E76"/>
    <w:rsid w:val="00D6707B"/>
    <w:rsid w:val="00D85E4F"/>
    <w:rsid w:val="00D96B5B"/>
    <w:rsid w:val="00DB4689"/>
    <w:rsid w:val="00DD0A93"/>
    <w:rsid w:val="00DD479F"/>
    <w:rsid w:val="00DF3FF5"/>
    <w:rsid w:val="00E021F9"/>
    <w:rsid w:val="00E447DF"/>
    <w:rsid w:val="00E52676"/>
    <w:rsid w:val="00E53958"/>
    <w:rsid w:val="00E5600A"/>
    <w:rsid w:val="00E612F6"/>
    <w:rsid w:val="00E6425B"/>
    <w:rsid w:val="00E72376"/>
    <w:rsid w:val="00E96400"/>
    <w:rsid w:val="00E97E6C"/>
    <w:rsid w:val="00EB608E"/>
    <w:rsid w:val="00EC2312"/>
    <w:rsid w:val="00ED53FD"/>
    <w:rsid w:val="00ED574C"/>
    <w:rsid w:val="00ED65AA"/>
    <w:rsid w:val="00EE2457"/>
    <w:rsid w:val="00EE4A74"/>
    <w:rsid w:val="00F018B5"/>
    <w:rsid w:val="00F11B67"/>
    <w:rsid w:val="00F12295"/>
    <w:rsid w:val="00F43C01"/>
    <w:rsid w:val="00F619C2"/>
    <w:rsid w:val="00F6760C"/>
    <w:rsid w:val="00FA048D"/>
    <w:rsid w:val="00FA06FC"/>
    <w:rsid w:val="00FA4C06"/>
    <w:rsid w:val="00FA6BE5"/>
    <w:rsid w:val="00FB3047"/>
    <w:rsid w:val="00FB63FF"/>
    <w:rsid w:val="00FC3C32"/>
    <w:rsid w:val="00FD2AC9"/>
    <w:rsid w:val="00FD7699"/>
    <w:rsid w:val="00FE17DA"/>
    <w:rsid w:val="00FE3030"/>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07AD9"/>
  <w15:docId w15:val="{405EF25C-178F-4B25-AADB-7CC74C61A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PY"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2B78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82C6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2C69"/>
    <w:rPr>
      <w:rFonts w:ascii="Tahoma" w:hAnsi="Tahoma" w:cs="Tahoma"/>
      <w:sz w:val="16"/>
      <w:szCs w:val="16"/>
      <w:lang w:val="es-ES"/>
    </w:rPr>
  </w:style>
  <w:style w:type="paragraph" w:styleId="Encabezado">
    <w:name w:val="header"/>
    <w:basedOn w:val="Normal"/>
    <w:link w:val="EncabezadoCar"/>
    <w:uiPriority w:val="99"/>
    <w:unhideWhenUsed/>
    <w:rsid w:val="00EF577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F5770"/>
    <w:rPr>
      <w:lang w:val="es-ES"/>
    </w:rPr>
  </w:style>
  <w:style w:type="paragraph" w:styleId="Piedepgina">
    <w:name w:val="footer"/>
    <w:basedOn w:val="Normal"/>
    <w:link w:val="PiedepginaCar"/>
    <w:uiPriority w:val="99"/>
    <w:unhideWhenUsed/>
    <w:rsid w:val="00EF577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F5770"/>
    <w:rPr>
      <w:lang w:val="es-ES"/>
    </w:rPr>
  </w:style>
  <w:style w:type="paragraph" w:styleId="Prrafodelista">
    <w:name w:val="List Paragraph"/>
    <w:aliases w:val="List Paragraph1"/>
    <w:basedOn w:val="Normal"/>
    <w:link w:val="PrrafodelistaCar"/>
    <w:uiPriority w:val="34"/>
    <w:qFormat/>
    <w:rsid w:val="00E018D1"/>
    <w:pPr>
      <w:ind w:left="720"/>
      <w:contextualSpacing/>
    </w:pPr>
  </w:style>
  <w:style w:type="paragraph" w:customStyle="1" w:styleId="estilo5">
    <w:name w:val="estilo5"/>
    <w:basedOn w:val="Normal"/>
    <w:rsid w:val="000D2747"/>
    <w:pPr>
      <w:spacing w:before="100" w:beforeAutospacing="1" w:after="100" w:afterAutospacing="1" w:line="240" w:lineRule="auto"/>
    </w:pPr>
    <w:rPr>
      <w:rFonts w:ascii="Times New Roman" w:eastAsia="Times New Roman" w:hAnsi="Times New Roman" w:cs="Times New Roman"/>
      <w:sz w:val="24"/>
      <w:szCs w:val="24"/>
      <w:lang w:val="es-PY"/>
    </w:rPr>
  </w:style>
  <w:style w:type="paragraph" w:styleId="Textonotapie">
    <w:name w:val="footnote text"/>
    <w:basedOn w:val="Normal"/>
    <w:link w:val="TextonotapieCar"/>
    <w:uiPriority w:val="99"/>
    <w:unhideWhenUsed/>
    <w:rsid w:val="00FB15F1"/>
    <w:pPr>
      <w:spacing w:after="0" w:line="240" w:lineRule="auto"/>
    </w:pPr>
    <w:rPr>
      <w:sz w:val="20"/>
      <w:szCs w:val="20"/>
    </w:rPr>
  </w:style>
  <w:style w:type="character" w:customStyle="1" w:styleId="TextonotapieCar">
    <w:name w:val="Texto nota pie Car"/>
    <w:basedOn w:val="Fuentedeprrafopredeter"/>
    <w:link w:val="Textonotapie"/>
    <w:uiPriority w:val="99"/>
    <w:rsid w:val="00FB15F1"/>
    <w:rPr>
      <w:sz w:val="20"/>
      <w:szCs w:val="20"/>
      <w:lang w:val="es-ES"/>
    </w:rPr>
  </w:style>
  <w:style w:type="character" w:styleId="Refdenotaalpie">
    <w:name w:val="footnote reference"/>
    <w:basedOn w:val="Fuentedeprrafopredeter"/>
    <w:uiPriority w:val="99"/>
    <w:semiHidden/>
    <w:unhideWhenUsed/>
    <w:rsid w:val="00FB15F1"/>
    <w:rPr>
      <w:vertAlign w:val="superscript"/>
    </w:rPr>
  </w:style>
  <w:style w:type="paragraph" w:customStyle="1" w:styleId="CarCar">
    <w:name w:val="Car Car"/>
    <w:basedOn w:val="Ttulo2"/>
    <w:rsid w:val="002B785D"/>
    <w:pPr>
      <w:keepLines w:val="0"/>
      <w:pageBreakBefore/>
      <w:tabs>
        <w:tab w:val="left" w:pos="850"/>
        <w:tab w:val="left" w:pos="1191"/>
        <w:tab w:val="left" w:pos="1531"/>
      </w:tabs>
      <w:spacing w:before="120" w:after="120" w:line="240" w:lineRule="auto"/>
      <w:jc w:val="center"/>
    </w:pPr>
    <w:rPr>
      <w:rFonts w:ascii="Tahoma" w:eastAsia="Times New Roman" w:hAnsi="Tahoma" w:cs="Tahoma"/>
      <w:bCs w:val="0"/>
      <w:color w:val="FFFFFF"/>
      <w:spacing w:val="20"/>
      <w:sz w:val="22"/>
      <w:szCs w:val="22"/>
      <w:lang w:val="en-GB" w:eastAsia="zh-CN"/>
    </w:rPr>
  </w:style>
  <w:style w:type="character" w:customStyle="1" w:styleId="Ttulo2Car">
    <w:name w:val="Título 2 Car"/>
    <w:basedOn w:val="Fuentedeprrafopredeter"/>
    <w:link w:val="Ttulo2"/>
    <w:uiPriority w:val="9"/>
    <w:semiHidden/>
    <w:rsid w:val="002B785D"/>
    <w:rPr>
      <w:rFonts w:asciiTheme="majorHAnsi" w:eastAsiaTheme="majorEastAsia" w:hAnsiTheme="majorHAnsi" w:cstheme="majorBidi"/>
      <w:b/>
      <w:bCs/>
      <w:color w:val="4F81BD" w:themeColor="accent1"/>
      <w:sz w:val="26"/>
      <w:szCs w:val="26"/>
      <w:lang w:val="es-ES"/>
    </w:rPr>
  </w:style>
  <w:style w:type="character" w:styleId="Hipervnculo">
    <w:name w:val="Hyperlink"/>
    <w:basedOn w:val="Fuentedeprrafopredeter"/>
    <w:uiPriority w:val="99"/>
    <w:unhideWhenUsed/>
    <w:rsid w:val="004357F2"/>
    <w:rPr>
      <w:color w:val="0000FF" w:themeColor="hyperlink"/>
      <w:u w:val="single"/>
    </w:rPr>
  </w:style>
  <w:style w:type="table" w:styleId="Tablaconcuadrcula">
    <w:name w:val="Table Grid"/>
    <w:basedOn w:val="Tablanormal"/>
    <w:uiPriority w:val="39"/>
    <w:rsid w:val="00682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7232B"/>
    <w:rPr>
      <w:sz w:val="16"/>
      <w:szCs w:val="16"/>
    </w:rPr>
  </w:style>
  <w:style w:type="paragraph" w:styleId="Textocomentario">
    <w:name w:val="annotation text"/>
    <w:basedOn w:val="Normal"/>
    <w:link w:val="TextocomentarioCar"/>
    <w:unhideWhenUsed/>
    <w:rsid w:val="0077232B"/>
    <w:pPr>
      <w:spacing w:line="240" w:lineRule="auto"/>
    </w:pPr>
    <w:rPr>
      <w:sz w:val="20"/>
      <w:szCs w:val="20"/>
    </w:rPr>
  </w:style>
  <w:style w:type="character" w:customStyle="1" w:styleId="TextocomentarioCar">
    <w:name w:val="Texto comentario Car"/>
    <w:basedOn w:val="Fuentedeprrafopredeter"/>
    <w:link w:val="Textocomentario"/>
    <w:rsid w:val="0077232B"/>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77232B"/>
    <w:rPr>
      <w:b/>
      <w:bCs/>
    </w:rPr>
  </w:style>
  <w:style w:type="character" w:customStyle="1" w:styleId="AsuntodelcomentarioCar">
    <w:name w:val="Asunto del comentario Car"/>
    <w:basedOn w:val="TextocomentarioCar"/>
    <w:link w:val="Asuntodelcomentario"/>
    <w:uiPriority w:val="99"/>
    <w:semiHidden/>
    <w:rsid w:val="0077232B"/>
    <w:rPr>
      <w:b/>
      <w:bCs/>
      <w:sz w:val="20"/>
      <w:szCs w:val="20"/>
      <w:lang w:val="es-ES"/>
    </w:rPr>
  </w:style>
  <w:style w:type="paragraph" w:styleId="Textoindependiente">
    <w:name w:val="Body Text"/>
    <w:basedOn w:val="Normal"/>
    <w:link w:val="TextoindependienteCar"/>
    <w:uiPriority w:val="99"/>
    <w:semiHidden/>
    <w:unhideWhenUsed/>
    <w:rsid w:val="00E57F60"/>
    <w:pPr>
      <w:spacing w:after="120"/>
    </w:pPr>
  </w:style>
  <w:style w:type="character" w:customStyle="1" w:styleId="TextoindependienteCar">
    <w:name w:val="Texto independiente Car"/>
    <w:basedOn w:val="Fuentedeprrafopredeter"/>
    <w:link w:val="Textoindependiente"/>
    <w:uiPriority w:val="99"/>
    <w:semiHidden/>
    <w:rsid w:val="00E57F60"/>
    <w:rPr>
      <w:lang w:val="es-ES"/>
    </w:rPr>
  </w:style>
  <w:style w:type="character" w:customStyle="1" w:styleId="PrrafodelistaCar">
    <w:name w:val="Párrafo de lista Car"/>
    <w:aliases w:val="List Paragraph1 Car"/>
    <w:link w:val="Prrafodelista"/>
    <w:uiPriority w:val="34"/>
    <w:locked/>
    <w:rsid w:val="00E57385"/>
    <w:rPr>
      <w:lang w:val="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66268">
      <w:bodyDiv w:val="1"/>
      <w:marLeft w:val="0"/>
      <w:marRight w:val="0"/>
      <w:marTop w:val="0"/>
      <w:marBottom w:val="0"/>
      <w:divBdr>
        <w:top w:val="none" w:sz="0" w:space="0" w:color="auto"/>
        <w:left w:val="none" w:sz="0" w:space="0" w:color="auto"/>
        <w:bottom w:val="none" w:sz="0" w:space="0" w:color="auto"/>
        <w:right w:val="none" w:sz="0" w:space="0" w:color="auto"/>
      </w:divBdr>
    </w:div>
    <w:div w:id="375742757">
      <w:bodyDiv w:val="1"/>
      <w:marLeft w:val="0"/>
      <w:marRight w:val="0"/>
      <w:marTop w:val="0"/>
      <w:marBottom w:val="0"/>
      <w:divBdr>
        <w:top w:val="none" w:sz="0" w:space="0" w:color="auto"/>
        <w:left w:val="none" w:sz="0" w:space="0" w:color="auto"/>
        <w:bottom w:val="none" w:sz="0" w:space="0" w:color="auto"/>
        <w:right w:val="none" w:sz="0" w:space="0" w:color="auto"/>
      </w:divBdr>
    </w:div>
    <w:div w:id="931397842">
      <w:bodyDiv w:val="1"/>
      <w:marLeft w:val="0"/>
      <w:marRight w:val="0"/>
      <w:marTop w:val="0"/>
      <w:marBottom w:val="0"/>
      <w:divBdr>
        <w:top w:val="none" w:sz="0" w:space="0" w:color="auto"/>
        <w:left w:val="none" w:sz="0" w:space="0" w:color="auto"/>
        <w:bottom w:val="none" w:sz="0" w:space="0" w:color="auto"/>
        <w:right w:val="none" w:sz="0" w:space="0" w:color="auto"/>
      </w:divBdr>
    </w:div>
    <w:div w:id="15801699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fccc.int/sites/default/files/resource/CMA2018_03a02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nfccc.int/sites/default/files/resource/cma2021_L21E.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7oDU0zrOYWprJV1nZdjdqDFBQ==">CgMxLjAyCGguZ2pkZ3hzMgloLjMwajB6bGw4AHIhMUYxS1d0eG55Q3U0WFZFa2txN1ItaUtIVmVlVFoyd2Ex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1865</Words>
  <Characters>10260</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Correa Lopez</dc:creator>
  <cp:lastModifiedBy>Fabiana Cardozo</cp:lastModifiedBy>
  <cp:revision>9</cp:revision>
  <cp:lastPrinted>2026-06-25T13:41:00Z</cp:lastPrinted>
  <dcterms:created xsi:type="dcterms:W3CDTF">2026-07-09T15:46:00Z</dcterms:created>
  <dcterms:modified xsi:type="dcterms:W3CDTF">2026-07-14T13:17:00Z</dcterms:modified>
</cp:coreProperties>
</file>