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2D2574" w14:textId="77777777" w:rsidR="00197D7C" w:rsidRPr="00D852A3" w:rsidRDefault="004F242F">
      <w:pPr>
        <w:spacing w:after="0" w:line="240" w:lineRule="auto"/>
        <w:jc w:val="center"/>
        <w:rPr>
          <w:rFonts w:asciiTheme="minorHAnsi" w:hAnsiTheme="minorHAnsi" w:cstheme="minorHAnsi"/>
          <w:b/>
          <w:sz w:val="24"/>
          <w:szCs w:val="24"/>
        </w:rPr>
      </w:pPr>
      <w:bookmarkStart w:id="0" w:name="_heading=h.gjdgxs" w:colFirst="0" w:colLast="0"/>
      <w:bookmarkEnd w:id="0"/>
      <w:r w:rsidRPr="00D852A3">
        <w:rPr>
          <w:rFonts w:asciiTheme="minorHAnsi" w:hAnsiTheme="minorHAnsi" w:cstheme="minorHAnsi"/>
          <w:b/>
          <w:sz w:val="24"/>
          <w:szCs w:val="24"/>
        </w:rPr>
        <w:t>Proyecto Primer y Segundo Informe Bienal de Transparencia y Quinta Comunicación Nacional (1BTR + 5NC &amp; 2BTR)</w:t>
      </w:r>
    </w:p>
    <w:p w14:paraId="19027AB5" w14:textId="77777777" w:rsidR="00197D7C" w:rsidRPr="00D852A3" w:rsidRDefault="00197D7C">
      <w:pPr>
        <w:spacing w:after="0" w:line="240" w:lineRule="auto"/>
        <w:jc w:val="both"/>
        <w:rPr>
          <w:rFonts w:asciiTheme="minorHAnsi" w:hAnsiTheme="minorHAnsi" w:cstheme="minorHAnsi"/>
          <w:b/>
          <w:sz w:val="24"/>
          <w:szCs w:val="24"/>
        </w:rPr>
      </w:pPr>
    </w:p>
    <w:p w14:paraId="4AA15796" w14:textId="77777777" w:rsidR="00BF5A20" w:rsidRPr="00D852A3" w:rsidRDefault="00BF5A20" w:rsidP="00BF5A20">
      <w:pPr>
        <w:spacing w:after="0" w:line="240" w:lineRule="auto"/>
        <w:jc w:val="center"/>
        <w:rPr>
          <w:rFonts w:asciiTheme="minorHAnsi" w:hAnsiTheme="minorHAnsi" w:cstheme="minorHAnsi"/>
          <w:b/>
          <w:sz w:val="24"/>
          <w:szCs w:val="24"/>
        </w:rPr>
      </w:pPr>
    </w:p>
    <w:p w14:paraId="0CB1A008" w14:textId="77777777" w:rsidR="00093F12" w:rsidRPr="006025C6" w:rsidRDefault="00093F12" w:rsidP="00093F12">
      <w:pPr>
        <w:spacing w:line="240" w:lineRule="auto"/>
        <w:jc w:val="center"/>
        <w:rPr>
          <w:b/>
          <w:bCs/>
          <w:color w:val="000000"/>
        </w:rPr>
      </w:pPr>
      <w:r w:rsidRPr="006025C6">
        <w:rPr>
          <w:b/>
          <w:bCs/>
          <w:color w:val="000000"/>
        </w:rPr>
        <w:t>“Consultor/a Estadístico/a de apoyo para la preparación del Inventario Nacional de Gases de Efecto Invernadero (INGEI) de Paraguay”</w:t>
      </w:r>
    </w:p>
    <w:p w14:paraId="1FABF4BF" w14:textId="77777777" w:rsidR="00197D7C" w:rsidRPr="00D852A3" w:rsidRDefault="00197D7C">
      <w:pPr>
        <w:spacing w:after="0" w:line="240" w:lineRule="auto"/>
        <w:jc w:val="both"/>
        <w:rPr>
          <w:rFonts w:asciiTheme="minorHAnsi" w:hAnsiTheme="minorHAnsi" w:cstheme="minorHAnsi"/>
          <w:sz w:val="24"/>
          <w:szCs w:val="24"/>
        </w:rPr>
      </w:pPr>
    </w:p>
    <w:p w14:paraId="22D90075" w14:textId="15D24CB3" w:rsidR="00197D7C" w:rsidRPr="00D852A3" w:rsidRDefault="00D852A3">
      <w:pPr>
        <w:numPr>
          <w:ilvl w:val="0"/>
          <w:numId w:val="5"/>
        </w:numPr>
        <w:spacing w:after="0" w:line="240" w:lineRule="auto"/>
        <w:jc w:val="both"/>
        <w:rPr>
          <w:rFonts w:asciiTheme="minorHAnsi" w:hAnsiTheme="minorHAnsi" w:cstheme="minorHAnsi"/>
          <w:sz w:val="24"/>
          <w:szCs w:val="24"/>
        </w:rPr>
      </w:pPr>
      <w:r w:rsidRPr="00D852A3">
        <w:rPr>
          <w:rFonts w:asciiTheme="minorHAnsi" w:hAnsiTheme="minorHAnsi" w:cstheme="minorHAnsi"/>
          <w:b/>
          <w:sz w:val="24"/>
          <w:szCs w:val="24"/>
        </w:rPr>
        <w:t xml:space="preserve">ANTECEDENTES </w:t>
      </w:r>
    </w:p>
    <w:p w14:paraId="79F33D66" w14:textId="77777777" w:rsidR="00197D7C" w:rsidRPr="00D852A3" w:rsidRDefault="00197D7C">
      <w:pPr>
        <w:spacing w:after="0" w:line="240" w:lineRule="auto"/>
        <w:jc w:val="both"/>
        <w:rPr>
          <w:rFonts w:asciiTheme="minorHAnsi" w:hAnsiTheme="minorHAnsi" w:cstheme="minorHAnsi"/>
          <w:sz w:val="24"/>
          <w:szCs w:val="24"/>
        </w:rPr>
      </w:pPr>
    </w:p>
    <w:p w14:paraId="7D624071" w14:textId="77777777" w:rsidR="00D852A3" w:rsidRPr="00E84F18" w:rsidRDefault="00D852A3" w:rsidP="00D852A3">
      <w:pPr>
        <w:spacing w:after="80" w:line="240" w:lineRule="auto"/>
        <w:ind w:right="27"/>
        <w:jc w:val="both"/>
        <w:rPr>
          <w:rFonts w:eastAsia="Candara" w:cstheme="minorHAnsi"/>
          <w:sz w:val="24"/>
          <w:szCs w:val="24"/>
          <w:lang w:val="es-PY" w:eastAsia="en-IN"/>
        </w:rPr>
      </w:pPr>
      <w:r w:rsidRPr="00E84F18">
        <w:rPr>
          <w:rFonts w:eastAsia="Candara" w:cstheme="minorHAnsi"/>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3D4F1840" w14:textId="64ECAA1C" w:rsidR="00D852A3" w:rsidRPr="00E84F18" w:rsidRDefault="00D852A3" w:rsidP="00D852A3">
      <w:pPr>
        <w:spacing w:after="80"/>
        <w:jc w:val="both"/>
        <w:rPr>
          <w:rFonts w:cstheme="minorHAnsi"/>
          <w:color w:val="000000"/>
          <w:sz w:val="24"/>
          <w:szCs w:val="24"/>
          <w:lang w:val="es-PY"/>
        </w:rPr>
      </w:pPr>
      <w:r w:rsidRPr="00E84F18">
        <w:rPr>
          <w:rFonts w:cstheme="minorHAnsi"/>
          <w:color w:val="000000"/>
          <w:sz w:val="24"/>
          <w:szCs w:val="24"/>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proofErr w:type="spellStart"/>
      <w:r w:rsidRPr="00E84F18">
        <w:rPr>
          <w:rFonts w:cstheme="minorHAnsi"/>
          <w:color w:val="000000"/>
          <w:sz w:val="24"/>
          <w:szCs w:val="24"/>
          <w:lang w:val="es-PY"/>
        </w:rPr>
        <w:t>antropógenas</w:t>
      </w:r>
      <w:proofErr w:type="spellEnd"/>
      <w:r w:rsidRPr="00E84F18">
        <w:rPr>
          <w:rFonts w:cstheme="minorHAnsi"/>
          <w:color w:val="000000"/>
          <w:sz w:val="24"/>
          <w:szCs w:val="24"/>
          <w:lang w:val="es-PY"/>
        </w:rPr>
        <w:t xml:space="preserve"> por fuentes</w:t>
      </w:r>
      <w:r w:rsidR="000538A0">
        <w:rPr>
          <w:rFonts w:cstheme="minorHAnsi"/>
          <w:color w:val="000000"/>
          <w:sz w:val="24"/>
          <w:szCs w:val="24"/>
          <w:lang w:val="es-PY"/>
        </w:rPr>
        <w:t xml:space="preserve"> </w:t>
      </w:r>
      <w:r w:rsidRPr="00E84F18">
        <w:rPr>
          <w:rFonts w:cstheme="minorHAnsi"/>
          <w:color w:val="000000"/>
          <w:sz w:val="24"/>
          <w:szCs w:val="24"/>
          <w:lang w:val="es-PY"/>
        </w:rPr>
        <w:t>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1E6229FE" w14:textId="77777777" w:rsidR="00D852A3" w:rsidRPr="00E84F18" w:rsidRDefault="00D852A3" w:rsidP="00D852A3">
      <w:pPr>
        <w:spacing w:after="80"/>
        <w:jc w:val="both"/>
        <w:rPr>
          <w:rFonts w:cstheme="minorHAnsi"/>
          <w:color w:val="000000"/>
          <w:sz w:val="24"/>
          <w:szCs w:val="24"/>
          <w:lang w:val="es-PY"/>
        </w:rPr>
      </w:pPr>
      <w:r w:rsidRPr="00E84F18">
        <w:rPr>
          <w:rFonts w:cstheme="minorHAnsi"/>
          <w:color w:val="000000"/>
          <w:sz w:val="24"/>
          <w:szCs w:val="24"/>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36F1A77A" w14:textId="77777777" w:rsidR="00D852A3" w:rsidRPr="00E84F18" w:rsidRDefault="00D852A3" w:rsidP="00D852A3">
      <w:pPr>
        <w:spacing w:after="80" w:line="240" w:lineRule="auto"/>
        <w:ind w:right="27"/>
        <w:jc w:val="both"/>
        <w:rPr>
          <w:rFonts w:eastAsia="Candara" w:cstheme="minorHAnsi"/>
          <w:sz w:val="24"/>
          <w:szCs w:val="24"/>
          <w:lang w:val="es-PY" w:eastAsia="en-IN"/>
        </w:rPr>
      </w:pPr>
      <w:bookmarkStart w:id="1" w:name="_Hlk152158346"/>
      <w:r w:rsidRPr="00E84F18">
        <w:rPr>
          <w:rFonts w:eastAsia="Candara" w:cstheme="minorHAnsi"/>
          <w:sz w:val="24"/>
          <w:szCs w:val="24"/>
          <w:lang w:val="es-PY" w:eastAsia="en-IN"/>
        </w:rPr>
        <w:t>A la fecha, Paraguay ha presentado cuatros comunicaciones nacionales a la Convención: la primera comunicación nacional en 2001, la segunda en 2011, la tercera en 2017 y la Cuarta Comunicación Nacional en el año 2023, así como tres informes bienales de actualización, el primero en 2015, el segundo en 2018 y el tercero en 2021.</w:t>
      </w:r>
      <w:r>
        <w:rPr>
          <w:rFonts w:eastAsia="Candara" w:cstheme="minorHAnsi"/>
          <w:sz w:val="24"/>
          <w:szCs w:val="24"/>
          <w:lang w:val="es-PY" w:eastAsia="en-IN"/>
        </w:rPr>
        <w:t xml:space="preserve"> Como así también, su Primer Informe Bienal de Transparencia en diciembre de 2024.</w:t>
      </w:r>
    </w:p>
    <w:p w14:paraId="6FB2C19E" w14:textId="19A38404" w:rsidR="00D852A3" w:rsidRPr="00E84F18" w:rsidRDefault="00D852A3" w:rsidP="00D852A3">
      <w:pPr>
        <w:spacing w:after="80" w:line="240" w:lineRule="auto"/>
        <w:ind w:right="27"/>
        <w:jc w:val="both"/>
        <w:rPr>
          <w:rFonts w:eastAsia="Candara" w:cstheme="minorHAnsi"/>
          <w:sz w:val="24"/>
          <w:szCs w:val="24"/>
          <w:lang w:val="es-PY" w:eastAsia="en-IN"/>
        </w:rPr>
      </w:pPr>
      <w:r w:rsidRPr="00E84F18">
        <w:rPr>
          <w:rFonts w:cstheme="minorHAnsi"/>
          <w:sz w:val="24"/>
          <w:szCs w:val="24"/>
          <w:lang w:val="es-PY"/>
        </w:rPr>
        <w:t xml:space="preserve">Este proyecto permitirá a </w:t>
      </w:r>
      <w:r w:rsidRPr="00E84F18">
        <w:rPr>
          <w:rFonts w:eastAsia="Candara" w:cstheme="minorHAnsi"/>
          <w:color w:val="000000"/>
          <w:sz w:val="24"/>
          <w:szCs w:val="24"/>
          <w:lang w:val="es-PY" w:eastAsia="en-IN"/>
        </w:rPr>
        <w:t xml:space="preserve">Paraguay a </w:t>
      </w:r>
      <w:r w:rsidRPr="00E84F18">
        <w:rPr>
          <w:rFonts w:cstheme="minorHAnsi"/>
          <w:sz w:val="24"/>
          <w:szCs w:val="24"/>
          <w:lang w:val="es-PY"/>
        </w:rPr>
        <w:t xml:space="preserve">preparar y presentar su Primer Informe Bienal de Transparencia (1BTR) como informe independiente y la Quinta Comunicación Nacional y el Segundo Informe Bienal de Transparencia (5NC/2BTR) como informe combinado, para cumplir con sus obligaciones de presentación de informes en virtud de la CMNUCC y el </w:t>
      </w:r>
      <w:r w:rsidRPr="00E84F18">
        <w:rPr>
          <w:rFonts w:cstheme="minorHAnsi"/>
          <w:sz w:val="24"/>
          <w:szCs w:val="24"/>
          <w:lang w:val="es-PY"/>
        </w:rPr>
        <w:lastRenderedPageBreak/>
        <w:t>Acuerdo de París de conformidad con las Modalidades, Procedimientos y Directrices (MPG) para el marco de transparencia para la acción y el apoyo a que se refiere el artículo 13 del Acuerdo de París (</w:t>
      </w:r>
      <w:hyperlink r:id="rId8">
        <w:r w:rsidRPr="00E84F18">
          <w:rPr>
            <w:rStyle w:val="Hipervnculo"/>
            <w:rFonts w:cstheme="minorHAnsi"/>
            <w:sz w:val="24"/>
            <w:szCs w:val="24"/>
            <w:lang w:val="es-PY"/>
          </w:rPr>
          <w:t>Decisión 18/CMA.1</w:t>
        </w:r>
      </w:hyperlink>
      <w:r w:rsidRPr="00E84F18">
        <w:rPr>
          <w:rFonts w:cstheme="minorHAnsi"/>
          <w:sz w:val="24"/>
          <w:szCs w:val="24"/>
          <w:lang w:val="es-PY"/>
        </w:rPr>
        <w:t xml:space="preserve">) y la orientación sobre la puesta en funcionamiento de los MPG según </w:t>
      </w:r>
      <w:hyperlink r:id="rId9">
        <w:r w:rsidRPr="00E84F18">
          <w:rPr>
            <w:rStyle w:val="Hipervnculo"/>
            <w:rFonts w:cstheme="minorHAnsi"/>
            <w:sz w:val="24"/>
            <w:szCs w:val="24"/>
            <w:lang w:val="es-PY"/>
          </w:rPr>
          <w:t>Decisión 5/CMA.3</w:t>
        </w:r>
      </w:hyperlink>
      <w:r w:rsidRPr="00E84F18">
        <w:rPr>
          <w:rFonts w:cstheme="minorHAnsi"/>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w:t>
      </w:r>
      <w:r>
        <w:rPr>
          <w:rFonts w:cstheme="minorHAnsi"/>
          <w:sz w:val="24"/>
          <w:szCs w:val="24"/>
          <w:lang w:val="es-PY"/>
        </w:rPr>
        <w:t>.</w:t>
      </w:r>
    </w:p>
    <w:bookmarkEnd w:id="1"/>
    <w:p w14:paraId="37BAC37C" w14:textId="77777777" w:rsidR="00D852A3" w:rsidRPr="00E84F18" w:rsidRDefault="00D852A3" w:rsidP="00D852A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sz w:val="24"/>
          <w:szCs w:val="24"/>
        </w:rPr>
      </w:pPr>
    </w:p>
    <w:p w14:paraId="242ED12A" w14:textId="77777777" w:rsidR="00BF5A20" w:rsidRPr="00D852A3" w:rsidRDefault="00BF5A2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sz w:val="24"/>
          <w:szCs w:val="24"/>
        </w:rPr>
      </w:pPr>
    </w:p>
    <w:p w14:paraId="757C662E" w14:textId="2C5EC96E" w:rsidR="00197D7C" w:rsidRPr="00D852A3" w:rsidRDefault="00D852A3">
      <w:pPr>
        <w:numPr>
          <w:ilvl w:val="0"/>
          <w:numId w:val="5"/>
        </w:numPr>
        <w:spacing w:after="0" w:line="240" w:lineRule="auto"/>
        <w:jc w:val="both"/>
        <w:rPr>
          <w:rFonts w:asciiTheme="minorHAnsi" w:hAnsiTheme="minorHAnsi" w:cstheme="minorHAnsi"/>
          <w:sz w:val="24"/>
          <w:szCs w:val="24"/>
        </w:rPr>
      </w:pPr>
      <w:r w:rsidRPr="00D852A3">
        <w:rPr>
          <w:rFonts w:asciiTheme="minorHAnsi" w:hAnsiTheme="minorHAnsi" w:cstheme="minorHAnsi"/>
          <w:b/>
          <w:sz w:val="24"/>
          <w:szCs w:val="24"/>
        </w:rPr>
        <w:t xml:space="preserve">OBJETIVO DEL PROYECTO. </w:t>
      </w:r>
    </w:p>
    <w:p w14:paraId="4068E760" w14:textId="77777777" w:rsidR="00197D7C" w:rsidRPr="00D852A3" w:rsidRDefault="004F242F">
      <w:pPr>
        <w:spacing w:after="0" w:line="240" w:lineRule="auto"/>
        <w:jc w:val="both"/>
        <w:rPr>
          <w:rFonts w:asciiTheme="minorHAnsi" w:hAnsiTheme="minorHAnsi" w:cstheme="minorHAnsi"/>
          <w:sz w:val="24"/>
          <w:szCs w:val="24"/>
        </w:rPr>
      </w:pPr>
      <w:r w:rsidRPr="00D852A3">
        <w:rPr>
          <w:rFonts w:asciiTheme="minorHAnsi" w:hAnsiTheme="minorHAnsi" w:cstheme="minorHAnsi"/>
          <w:sz w:val="24"/>
          <w:szCs w:val="24"/>
        </w:rPr>
        <w:t>El proyecto apoyará a la República del Paraguay a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138120AC" w14:textId="77777777" w:rsidR="00197D7C" w:rsidRPr="00D852A3" w:rsidRDefault="00197D7C">
      <w:pPr>
        <w:spacing w:after="0" w:line="240" w:lineRule="auto"/>
        <w:jc w:val="both"/>
        <w:rPr>
          <w:rFonts w:asciiTheme="minorHAnsi" w:hAnsiTheme="minorHAnsi" w:cstheme="minorHAnsi"/>
          <w:b/>
          <w:sz w:val="24"/>
          <w:szCs w:val="24"/>
        </w:rPr>
      </w:pPr>
    </w:p>
    <w:p w14:paraId="5BCF354F" w14:textId="414E57AA" w:rsidR="00197D7C" w:rsidRPr="00D852A3" w:rsidRDefault="00D852A3">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D852A3">
        <w:rPr>
          <w:rFonts w:asciiTheme="minorHAnsi" w:hAnsiTheme="minorHAnsi" w:cstheme="minorHAnsi"/>
          <w:b/>
          <w:color w:val="000000"/>
          <w:sz w:val="24"/>
          <w:szCs w:val="24"/>
        </w:rPr>
        <w:t xml:space="preserve">OBJETIVO DE LA CONSULTORÍA </w:t>
      </w:r>
    </w:p>
    <w:p w14:paraId="373CF4D6" w14:textId="77777777" w:rsidR="00197D7C" w:rsidRPr="00D852A3" w:rsidRDefault="00197D7C">
      <w:pPr>
        <w:pBdr>
          <w:top w:val="nil"/>
          <w:left w:val="nil"/>
          <w:bottom w:val="nil"/>
          <w:right w:val="nil"/>
          <w:between w:val="nil"/>
        </w:pBdr>
        <w:spacing w:after="0" w:line="240" w:lineRule="auto"/>
        <w:ind w:left="360"/>
        <w:jc w:val="both"/>
        <w:rPr>
          <w:rFonts w:asciiTheme="minorHAnsi" w:hAnsiTheme="minorHAnsi" w:cstheme="minorHAnsi"/>
          <w:b/>
          <w:sz w:val="24"/>
          <w:szCs w:val="24"/>
        </w:rPr>
      </w:pPr>
    </w:p>
    <w:p w14:paraId="3889871D" w14:textId="62D4D81F" w:rsidR="00197D7C" w:rsidRPr="00D852A3" w:rsidRDefault="004F242F">
      <w:pPr>
        <w:spacing w:after="0" w:line="240" w:lineRule="auto"/>
        <w:jc w:val="both"/>
        <w:rPr>
          <w:rFonts w:asciiTheme="minorHAnsi" w:hAnsiTheme="minorHAnsi" w:cstheme="minorHAnsi"/>
          <w:sz w:val="24"/>
          <w:szCs w:val="24"/>
        </w:rPr>
      </w:pPr>
      <w:r w:rsidRPr="00D852A3">
        <w:rPr>
          <w:rFonts w:asciiTheme="minorHAnsi" w:hAnsiTheme="minorHAnsi" w:cstheme="minorHAnsi"/>
          <w:sz w:val="24"/>
          <w:szCs w:val="24"/>
        </w:rPr>
        <w:t>Contratar un</w:t>
      </w:r>
      <w:r w:rsidR="007625A0" w:rsidRPr="00D852A3">
        <w:rPr>
          <w:rFonts w:asciiTheme="minorHAnsi" w:hAnsiTheme="minorHAnsi" w:cstheme="minorHAnsi"/>
          <w:sz w:val="24"/>
          <w:szCs w:val="24"/>
        </w:rPr>
        <w:t xml:space="preserve">/a </w:t>
      </w:r>
      <w:r w:rsidR="00093F12" w:rsidRPr="00093F12">
        <w:rPr>
          <w:rFonts w:asciiTheme="minorHAnsi" w:hAnsiTheme="minorHAnsi" w:cstheme="minorHAnsi"/>
          <w:sz w:val="24"/>
          <w:szCs w:val="24"/>
        </w:rPr>
        <w:t xml:space="preserve">Consultor/a Estadístico/a </w:t>
      </w:r>
      <w:r w:rsidR="00962989">
        <w:rPr>
          <w:rFonts w:asciiTheme="minorHAnsi" w:hAnsiTheme="minorHAnsi" w:cstheme="minorHAnsi"/>
          <w:sz w:val="24"/>
          <w:szCs w:val="24"/>
        </w:rPr>
        <w:t>para apoyar técnicamente la</w:t>
      </w:r>
      <w:r w:rsidR="00FC0823">
        <w:rPr>
          <w:rFonts w:asciiTheme="minorHAnsi" w:hAnsiTheme="minorHAnsi" w:cstheme="minorHAnsi"/>
          <w:sz w:val="24"/>
          <w:szCs w:val="24"/>
        </w:rPr>
        <w:t xml:space="preserve"> </w:t>
      </w:r>
      <w:r w:rsidR="00FC0823" w:rsidRPr="00FC0823">
        <w:rPr>
          <w:rFonts w:asciiTheme="minorHAnsi" w:hAnsiTheme="minorHAnsi" w:cstheme="minorHAnsi"/>
          <w:sz w:val="24"/>
          <w:szCs w:val="24"/>
        </w:rPr>
        <w:t xml:space="preserve">elaboración del Inventario Nacional de Gases de Efecto Invernadero de Paraguay, mediante la aplicación de métodos estadísticos </w:t>
      </w:r>
      <w:r w:rsidR="00962989">
        <w:rPr>
          <w:rFonts w:asciiTheme="minorHAnsi" w:hAnsiTheme="minorHAnsi" w:cstheme="minorHAnsi"/>
          <w:sz w:val="24"/>
          <w:szCs w:val="24"/>
        </w:rPr>
        <w:t xml:space="preserve"> orientados al tratamiento de vacíos de información, armonización de series temporales, análisis de incertidumbre, análisis de categorías principales y fortalecimiento de capacidades técnicas </w:t>
      </w:r>
      <w:r w:rsidR="00FC0823" w:rsidRPr="00FC0823">
        <w:rPr>
          <w:rFonts w:asciiTheme="minorHAnsi" w:hAnsiTheme="minorHAnsi" w:cstheme="minorHAnsi"/>
          <w:sz w:val="24"/>
          <w:szCs w:val="24"/>
        </w:rPr>
        <w:t>conforme a las Directrices del IPCC</w:t>
      </w:r>
      <w:r w:rsidR="00962989">
        <w:rPr>
          <w:rFonts w:asciiTheme="minorHAnsi" w:hAnsiTheme="minorHAnsi" w:cstheme="minorHAnsi"/>
          <w:sz w:val="24"/>
          <w:szCs w:val="24"/>
        </w:rPr>
        <w:t xml:space="preserve"> 2206, su refinamiento 2019</w:t>
      </w:r>
      <w:r w:rsidR="00FC0823" w:rsidRPr="00FC0823">
        <w:rPr>
          <w:rFonts w:asciiTheme="minorHAnsi" w:hAnsiTheme="minorHAnsi" w:cstheme="minorHAnsi"/>
          <w:sz w:val="24"/>
          <w:szCs w:val="24"/>
        </w:rPr>
        <w:t xml:space="preserve"> y las </w:t>
      </w:r>
      <w:proofErr w:type="spellStart"/>
      <w:r w:rsidR="00FC0823" w:rsidRPr="00FC0823">
        <w:rPr>
          <w:rFonts w:asciiTheme="minorHAnsi" w:hAnsiTheme="minorHAnsi" w:cstheme="minorHAnsi"/>
          <w:sz w:val="24"/>
          <w:szCs w:val="24"/>
        </w:rPr>
        <w:t>MPGs</w:t>
      </w:r>
      <w:proofErr w:type="spellEnd"/>
      <w:r w:rsidR="00FC0823" w:rsidRPr="00FC0823">
        <w:rPr>
          <w:rFonts w:asciiTheme="minorHAnsi" w:hAnsiTheme="minorHAnsi" w:cstheme="minorHAnsi"/>
          <w:sz w:val="24"/>
          <w:szCs w:val="24"/>
        </w:rPr>
        <w:t xml:space="preserve">, </w:t>
      </w:r>
      <w:r w:rsidR="00962989">
        <w:rPr>
          <w:rFonts w:asciiTheme="minorHAnsi" w:hAnsiTheme="minorHAnsi" w:cstheme="minorHAnsi"/>
          <w:sz w:val="24"/>
          <w:szCs w:val="24"/>
        </w:rPr>
        <w:t xml:space="preserve">del Marco de Transparencia Reforzado (ETF) </w:t>
      </w:r>
      <w:r w:rsidR="00FC0823" w:rsidRPr="00FC0823">
        <w:rPr>
          <w:rFonts w:asciiTheme="minorHAnsi" w:hAnsiTheme="minorHAnsi" w:cstheme="minorHAnsi"/>
          <w:sz w:val="24"/>
          <w:szCs w:val="24"/>
        </w:rPr>
        <w:t>en el marco del</w:t>
      </w:r>
      <w:r w:rsidR="00FC0823">
        <w:rPr>
          <w:rFonts w:asciiTheme="minorHAnsi" w:hAnsiTheme="minorHAnsi" w:cstheme="minorHAnsi"/>
          <w:sz w:val="24"/>
          <w:szCs w:val="24"/>
        </w:rPr>
        <w:t xml:space="preserve"> Segundo</w:t>
      </w:r>
      <w:r w:rsidR="00FC0823" w:rsidRPr="00FC0823">
        <w:rPr>
          <w:rFonts w:asciiTheme="minorHAnsi" w:hAnsiTheme="minorHAnsi" w:cstheme="minorHAnsi"/>
          <w:sz w:val="24"/>
          <w:szCs w:val="24"/>
        </w:rPr>
        <w:t xml:space="preserve"> Informe Bienal de Transparencia y la Comunicación Nacional.</w:t>
      </w:r>
    </w:p>
    <w:p w14:paraId="0F11476B" w14:textId="77777777" w:rsidR="00197D7C" w:rsidRPr="00D852A3" w:rsidRDefault="00197D7C">
      <w:pPr>
        <w:spacing w:after="0" w:line="240" w:lineRule="auto"/>
        <w:jc w:val="both"/>
        <w:rPr>
          <w:rFonts w:asciiTheme="minorHAnsi" w:hAnsiTheme="minorHAnsi" w:cstheme="minorHAnsi"/>
          <w:sz w:val="24"/>
          <w:szCs w:val="24"/>
        </w:rPr>
      </w:pPr>
    </w:p>
    <w:p w14:paraId="24ED8C38" w14:textId="72D80FA6" w:rsidR="00197D7C" w:rsidRPr="00D852A3" w:rsidRDefault="00D852A3">
      <w:pPr>
        <w:numPr>
          <w:ilvl w:val="0"/>
          <w:numId w:val="5"/>
        </w:numPr>
        <w:spacing w:after="0" w:line="240" w:lineRule="auto"/>
        <w:jc w:val="both"/>
        <w:rPr>
          <w:rFonts w:asciiTheme="minorHAnsi" w:hAnsiTheme="minorHAnsi" w:cstheme="minorHAnsi"/>
          <w:sz w:val="24"/>
          <w:szCs w:val="24"/>
        </w:rPr>
      </w:pPr>
      <w:r w:rsidRPr="00D852A3">
        <w:rPr>
          <w:rFonts w:asciiTheme="minorHAnsi" w:hAnsiTheme="minorHAnsi" w:cstheme="minorHAnsi"/>
          <w:b/>
          <w:sz w:val="24"/>
          <w:szCs w:val="24"/>
        </w:rPr>
        <w:t>ACTIVIDADES</w:t>
      </w:r>
    </w:p>
    <w:p w14:paraId="73580A4F" w14:textId="05C3C49B" w:rsidR="00197D7C" w:rsidRPr="006E3DDF" w:rsidRDefault="006E3DDF" w:rsidP="006E3DDF">
      <w:pPr>
        <w:pStyle w:val="Prrafodelista"/>
        <w:numPr>
          <w:ilvl w:val="0"/>
          <w:numId w:val="15"/>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Apoyar el análisis cuantitativo y cualitativo de incertidumbre de datos de actividad y factores de emisión.</w:t>
      </w:r>
    </w:p>
    <w:p w14:paraId="00526BB3" w14:textId="62B79159" w:rsidR="006E3DDF" w:rsidRPr="006E3DDF" w:rsidRDefault="006E3DDF" w:rsidP="006E3DDF">
      <w:pPr>
        <w:pStyle w:val="Prrafodelista"/>
        <w:numPr>
          <w:ilvl w:val="0"/>
          <w:numId w:val="15"/>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Apoyar el análisis de categorías principales por nivel y tendencia conforme a las metodologías del Panel Intergubernamental de Expertos (IPCC).</w:t>
      </w:r>
    </w:p>
    <w:p w14:paraId="0DE7A989" w14:textId="465B3502" w:rsidR="006E3DDF" w:rsidRPr="006E3DDF" w:rsidRDefault="006E3DDF" w:rsidP="006E3DDF">
      <w:pPr>
        <w:pStyle w:val="Prrafodelista"/>
        <w:numPr>
          <w:ilvl w:val="0"/>
          <w:numId w:val="15"/>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Elaborar documentación metodológica y garantizar la trazabilidad estadística de los procedimientos de implementados.</w:t>
      </w:r>
    </w:p>
    <w:p w14:paraId="7EE0F326" w14:textId="656F827C" w:rsidR="006E3DDF" w:rsidRPr="006E3DDF" w:rsidRDefault="006E3DDF" w:rsidP="006E3DDF">
      <w:pPr>
        <w:pStyle w:val="Prrafodelista"/>
        <w:numPr>
          <w:ilvl w:val="0"/>
          <w:numId w:val="15"/>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Desarrollas visualizaciones gráficas e interpretaciones estadísticas de resultados.</w:t>
      </w:r>
    </w:p>
    <w:p w14:paraId="19B92CFF" w14:textId="2A6D1202" w:rsidR="006E3DDF" w:rsidRPr="006E3DDF" w:rsidRDefault="006E3DDF" w:rsidP="006E3DDF">
      <w:pPr>
        <w:pStyle w:val="Prrafodelista"/>
        <w:numPr>
          <w:ilvl w:val="0"/>
          <w:numId w:val="15"/>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Apoyar la implementación de procedimientos de aseguramiento y control de calidad (QA/QC por sus siglas en ingles).</w:t>
      </w:r>
    </w:p>
    <w:p w14:paraId="26A59A69" w14:textId="3A039FA5" w:rsidR="006E3DDF" w:rsidRPr="00913ACE" w:rsidRDefault="00913ACE" w:rsidP="006E3DDF">
      <w:pPr>
        <w:pStyle w:val="Prrafodelista"/>
        <w:numPr>
          <w:ilvl w:val="0"/>
          <w:numId w:val="15"/>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Trabajar de manera coordinada con la Dirección Nacional de Cambio Climático (DNCC), la coordinación y el equipo técnico del proyecto, para brindar capacitación en el proceso de aplicación de métodos estadísticos para exploración de datos, llenado de vacíos de información (técnicas de empalme), armonización de series temporales, análisis de incertidumbre, análisis de categorías principales y fortalecimiento de capacidades técnicas conforme a las Directrices y Manuales de Buenas Prácticas de Panel Intergubernamental de Expertos (IPCC), y las modalidades, procedimientos y directrices (MPG).</w:t>
      </w:r>
    </w:p>
    <w:p w14:paraId="63CD3720" w14:textId="3430D764" w:rsidR="00913ACE" w:rsidRPr="00913ACE" w:rsidRDefault="00913ACE" w:rsidP="006E3DDF">
      <w:pPr>
        <w:pStyle w:val="Prrafodelista"/>
        <w:numPr>
          <w:ilvl w:val="0"/>
          <w:numId w:val="15"/>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Participar en reuniones técnicas, talleres y espacios de coordinación interinstitucional.</w:t>
      </w:r>
    </w:p>
    <w:p w14:paraId="0738D99C" w14:textId="0FA4F03A" w:rsidR="00913ACE" w:rsidRPr="00913ACE" w:rsidRDefault="00913ACE" w:rsidP="006E3DDF">
      <w:pPr>
        <w:pStyle w:val="Prrafodelista"/>
        <w:numPr>
          <w:ilvl w:val="0"/>
          <w:numId w:val="15"/>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Identificar nuevas fuentes de información relevantes para el Inventario Nacional de Gases de Efecto Invernadero. (INGEI).</w:t>
      </w:r>
    </w:p>
    <w:p w14:paraId="3C447279" w14:textId="0AEC8999" w:rsidR="00913ACE" w:rsidRPr="007348DA" w:rsidRDefault="007348DA" w:rsidP="006E3DDF">
      <w:pPr>
        <w:pStyle w:val="Prrafodelista"/>
        <w:numPr>
          <w:ilvl w:val="0"/>
          <w:numId w:val="15"/>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 xml:space="preserve">Elaborar informes técnicos y documentos metodológicos detallados, incluyendo scripts, </w:t>
      </w:r>
      <w:proofErr w:type="spellStart"/>
      <w:r>
        <w:rPr>
          <w:rFonts w:asciiTheme="minorHAnsi" w:hAnsiTheme="minorHAnsi" w:cstheme="minorHAnsi"/>
          <w:bCs/>
          <w:sz w:val="24"/>
          <w:szCs w:val="24"/>
        </w:rPr>
        <w:t>dataset</w:t>
      </w:r>
      <w:proofErr w:type="spellEnd"/>
      <w:r>
        <w:rPr>
          <w:rFonts w:asciiTheme="minorHAnsi" w:hAnsiTheme="minorHAnsi" w:cstheme="minorHAnsi"/>
          <w:bCs/>
          <w:sz w:val="24"/>
          <w:szCs w:val="24"/>
        </w:rPr>
        <w:t>, descripción de métodos estadísticos aplicados, diccionario, metadatos y otros insumos para la transparencia (Replicabilidad) del reporte.</w:t>
      </w:r>
    </w:p>
    <w:p w14:paraId="3010391A" w14:textId="2CDB5FDE" w:rsidR="007348DA" w:rsidRPr="007348DA" w:rsidRDefault="007348DA" w:rsidP="006E3DDF">
      <w:pPr>
        <w:pStyle w:val="Prrafodelista"/>
        <w:numPr>
          <w:ilvl w:val="0"/>
          <w:numId w:val="15"/>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 xml:space="preserve">Brindar apoyo técnico posterior a la finalización </w:t>
      </w:r>
      <w:proofErr w:type="spellStart"/>
      <w:r>
        <w:rPr>
          <w:rFonts w:asciiTheme="minorHAnsi" w:hAnsiTheme="minorHAnsi" w:cstheme="minorHAnsi"/>
          <w:bCs/>
          <w:sz w:val="24"/>
          <w:szCs w:val="24"/>
        </w:rPr>
        <w:t>contractural</w:t>
      </w:r>
      <w:proofErr w:type="spellEnd"/>
      <w:r>
        <w:rPr>
          <w:rFonts w:asciiTheme="minorHAnsi" w:hAnsiTheme="minorHAnsi" w:cstheme="minorHAnsi"/>
          <w:bCs/>
          <w:sz w:val="24"/>
          <w:szCs w:val="24"/>
        </w:rPr>
        <w:t xml:space="preserve"> en caso de requerimientos asociados a procesos de revisión técnica en el marco de la Convención Marco de las Naciones Unidas sobre el Cambio Climático (CMNUCC).</w:t>
      </w:r>
    </w:p>
    <w:p w14:paraId="5EB2ACBD" w14:textId="77777777" w:rsidR="007348DA" w:rsidRPr="006E3DDF" w:rsidRDefault="007348DA" w:rsidP="007348DA">
      <w:pPr>
        <w:pStyle w:val="Prrafodelista"/>
        <w:spacing w:after="0" w:line="240" w:lineRule="auto"/>
        <w:jc w:val="both"/>
        <w:rPr>
          <w:rFonts w:asciiTheme="minorHAnsi" w:hAnsiTheme="minorHAnsi" w:cstheme="minorHAnsi"/>
          <w:b/>
          <w:sz w:val="24"/>
          <w:szCs w:val="24"/>
        </w:rPr>
      </w:pPr>
    </w:p>
    <w:p w14:paraId="13906E1D" w14:textId="77777777" w:rsidR="00197D7C" w:rsidRPr="00D852A3" w:rsidRDefault="004F242F">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D852A3">
        <w:rPr>
          <w:rFonts w:asciiTheme="minorHAnsi" w:hAnsiTheme="minorHAnsi" w:cstheme="minorHAnsi"/>
          <w:b/>
          <w:color w:val="000000"/>
          <w:sz w:val="24"/>
          <w:szCs w:val="24"/>
        </w:rPr>
        <w:t>PERFIL REQUERIDO</w:t>
      </w:r>
    </w:p>
    <w:p w14:paraId="26DD1A4A" w14:textId="77777777" w:rsidR="00197D7C" w:rsidRPr="00D852A3" w:rsidRDefault="00197D7C">
      <w:pPr>
        <w:spacing w:after="0" w:line="240" w:lineRule="auto"/>
        <w:jc w:val="both"/>
        <w:rPr>
          <w:rFonts w:asciiTheme="minorHAnsi" w:hAnsiTheme="minorHAnsi" w:cstheme="minorHAnsi"/>
          <w:sz w:val="24"/>
          <w:szCs w:val="24"/>
        </w:rPr>
      </w:pPr>
    </w:p>
    <w:p w14:paraId="09F69D0F" w14:textId="716B0AFF" w:rsidR="00197D7C" w:rsidRPr="00596332" w:rsidRDefault="00512BA1" w:rsidP="00596332">
      <w:pPr>
        <w:numPr>
          <w:ilvl w:val="0"/>
          <w:numId w:val="13"/>
        </w:numPr>
        <w:spacing w:after="0" w:line="240" w:lineRule="auto"/>
        <w:jc w:val="both"/>
        <w:rPr>
          <w:rFonts w:asciiTheme="minorHAnsi" w:hAnsiTheme="minorHAnsi" w:cstheme="minorHAnsi"/>
          <w:b/>
          <w:sz w:val="24"/>
          <w:szCs w:val="24"/>
        </w:rPr>
      </w:pPr>
      <w:r w:rsidRPr="006025C6">
        <w:t xml:space="preserve">Profesional universitario/a </w:t>
      </w:r>
      <w:r>
        <w:t xml:space="preserve">en </w:t>
      </w:r>
      <w:r w:rsidRPr="00F961ED">
        <w:t>Estadística, Economía, Ingeniería</w:t>
      </w:r>
      <w:r w:rsidR="00596332">
        <w:t>, Informática, Ciencias Ambientales o áreas afines. (Excluyente).</w:t>
      </w:r>
    </w:p>
    <w:p w14:paraId="1ECE5226" w14:textId="45E8A1AF" w:rsidR="00596332" w:rsidRPr="00596332" w:rsidRDefault="00596332" w:rsidP="00596332">
      <w:pPr>
        <w:numPr>
          <w:ilvl w:val="0"/>
          <w:numId w:val="13"/>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Se valora formación de posgrado relacionados con estadística aplicada, cambio climático, Inventarios Nacionales de Gases de Efecto Invernadero (INGEI) o análisis de datos.</w:t>
      </w:r>
    </w:p>
    <w:p w14:paraId="6D638D33" w14:textId="493EA8A3" w:rsidR="00596332" w:rsidRPr="00596332" w:rsidRDefault="00596332" w:rsidP="00596332">
      <w:pPr>
        <w:numPr>
          <w:ilvl w:val="0"/>
          <w:numId w:val="13"/>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Experiencia profesional general mínimo de 2 años.</w:t>
      </w:r>
    </w:p>
    <w:p w14:paraId="1A5F64AE" w14:textId="7CB315F2" w:rsidR="00596332" w:rsidRPr="00BA0F7E" w:rsidRDefault="00596332" w:rsidP="00596332">
      <w:pPr>
        <w:numPr>
          <w:ilvl w:val="0"/>
          <w:numId w:val="13"/>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Experiencia especifica en análisis estadístico, modelamiento</w:t>
      </w:r>
      <w:r w:rsidR="00BA0F7E">
        <w:rPr>
          <w:rFonts w:asciiTheme="minorHAnsi" w:hAnsiTheme="minorHAnsi" w:cstheme="minorHAnsi"/>
          <w:bCs/>
          <w:sz w:val="24"/>
          <w:szCs w:val="24"/>
        </w:rPr>
        <w:t>, manejo de base de datos o proyectos relacionados con Inventarios Nacionales de Gases de Efecto Invernadero (INGEI).</w:t>
      </w:r>
    </w:p>
    <w:p w14:paraId="14A4933D" w14:textId="0FFCE546" w:rsidR="00BA0F7E" w:rsidRPr="00B10EA0" w:rsidRDefault="00B10EA0" w:rsidP="00596332">
      <w:pPr>
        <w:numPr>
          <w:ilvl w:val="0"/>
          <w:numId w:val="13"/>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Manejo comprobable de herramientas estadística, preferentemente E, Python, SPSS O Stata. Indispensable manejo de procesadores de texto, plantillas electrónicas, herramientas de presentación y comunicación e internet.</w:t>
      </w:r>
    </w:p>
    <w:p w14:paraId="01515379" w14:textId="2FF34021" w:rsidR="00B10EA0" w:rsidRPr="00520ECF" w:rsidRDefault="00520ECF" w:rsidP="00596332">
      <w:pPr>
        <w:numPr>
          <w:ilvl w:val="0"/>
          <w:numId w:val="13"/>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Idioma inglés, capacidad de lectura y compresión técnica de documentos.</w:t>
      </w:r>
    </w:p>
    <w:p w14:paraId="0FCC23A8" w14:textId="0C355DEE" w:rsidR="00520ECF" w:rsidRPr="00520ECF" w:rsidRDefault="00520ECF" w:rsidP="00596332">
      <w:pPr>
        <w:numPr>
          <w:ilvl w:val="0"/>
          <w:numId w:val="13"/>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Conocimiento de las directrices del IPCC para Inventarios de Gases de Efecto Invernadero.</w:t>
      </w:r>
    </w:p>
    <w:p w14:paraId="06312D1B" w14:textId="1555AF64" w:rsidR="00520ECF" w:rsidRPr="00520ECF" w:rsidRDefault="00520ECF" w:rsidP="00596332">
      <w:pPr>
        <w:numPr>
          <w:ilvl w:val="0"/>
          <w:numId w:val="13"/>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Experiencia en elaboración de informes técnicos.</w:t>
      </w:r>
    </w:p>
    <w:p w14:paraId="27C11B90" w14:textId="786AB06F" w:rsidR="00520ECF" w:rsidRPr="00520ECF" w:rsidRDefault="00520ECF" w:rsidP="00596332">
      <w:pPr>
        <w:numPr>
          <w:ilvl w:val="0"/>
          <w:numId w:val="13"/>
        </w:numPr>
        <w:spacing w:after="0" w:line="240" w:lineRule="auto"/>
        <w:jc w:val="both"/>
        <w:rPr>
          <w:rFonts w:asciiTheme="minorHAnsi" w:hAnsiTheme="minorHAnsi" w:cstheme="minorHAnsi"/>
          <w:b/>
          <w:sz w:val="24"/>
          <w:szCs w:val="24"/>
        </w:rPr>
      </w:pPr>
      <w:r>
        <w:rPr>
          <w:rFonts w:asciiTheme="minorHAnsi" w:hAnsiTheme="minorHAnsi" w:cstheme="minorHAnsi"/>
          <w:bCs/>
          <w:sz w:val="24"/>
          <w:szCs w:val="24"/>
        </w:rPr>
        <w:t>Experiencia de trabajo con equipos multidisciplinarios.</w:t>
      </w:r>
    </w:p>
    <w:p w14:paraId="7C40245E" w14:textId="77777777" w:rsidR="00520ECF" w:rsidRPr="00D852A3" w:rsidRDefault="00520ECF" w:rsidP="00596332">
      <w:pPr>
        <w:numPr>
          <w:ilvl w:val="0"/>
          <w:numId w:val="13"/>
        </w:numPr>
        <w:spacing w:after="0" w:line="240" w:lineRule="auto"/>
        <w:jc w:val="both"/>
        <w:rPr>
          <w:rFonts w:asciiTheme="minorHAnsi" w:hAnsiTheme="minorHAnsi" w:cstheme="minorHAnsi"/>
          <w:b/>
          <w:sz w:val="24"/>
          <w:szCs w:val="24"/>
        </w:rPr>
      </w:pPr>
    </w:p>
    <w:p w14:paraId="54F41194" w14:textId="0EF583BD" w:rsidR="00197D7C" w:rsidRDefault="004F242F" w:rsidP="00596332">
      <w:pPr>
        <w:numPr>
          <w:ilvl w:val="0"/>
          <w:numId w:val="5"/>
        </w:numPr>
        <w:pBdr>
          <w:top w:val="nil"/>
          <w:left w:val="nil"/>
          <w:bottom w:val="nil"/>
          <w:right w:val="nil"/>
          <w:between w:val="nil"/>
        </w:pBdr>
        <w:jc w:val="both"/>
        <w:rPr>
          <w:rFonts w:asciiTheme="minorHAnsi" w:hAnsiTheme="minorHAnsi" w:cstheme="minorHAnsi"/>
          <w:b/>
          <w:color w:val="000000"/>
          <w:sz w:val="24"/>
          <w:szCs w:val="24"/>
        </w:rPr>
      </w:pPr>
      <w:r w:rsidRPr="00D852A3">
        <w:rPr>
          <w:rFonts w:asciiTheme="minorHAnsi" w:hAnsiTheme="minorHAnsi" w:cstheme="minorHAnsi"/>
          <w:color w:val="000000"/>
          <w:sz w:val="24"/>
          <w:szCs w:val="24"/>
        </w:rPr>
        <w:t xml:space="preserve"> </w:t>
      </w:r>
      <w:r w:rsidRPr="00D852A3">
        <w:rPr>
          <w:rFonts w:asciiTheme="minorHAnsi" w:hAnsiTheme="minorHAnsi" w:cstheme="minorHAnsi"/>
          <w:b/>
          <w:color w:val="000000"/>
          <w:sz w:val="24"/>
          <w:szCs w:val="24"/>
        </w:rPr>
        <w:t>FORMA DE CONTRATACIÓN Y CARÁCTER DEL CONTRATO</w:t>
      </w:r>
    </w:p>
    <w:p w14:paraId="4E271013" w14:textId="3255E463" w:rsidR="00520ECF" w:rsidRDefault="00520ECF" w:rsidP="00520ECF">
      <w:pPr>
        <w:pBdr>
          <w:top w:val="nil"/>
          <w:left w:val="nil"/>
          <w:bottom w:val="nil"/>
          <w:right w:val="nil"/>
          <w:between w:val="nil"/>
        </w:pBdr>
        <w:jc w:val="both"/>
        <w:rPr>
          <w:rFonts w:asciiTheme="minorHAnsi" w:hAnsiTheme="minorHAnsi" w:cstheme="minorHAnsi"/>
          <w:bCs/>
          <w:color w:val="000000"/>
          <w:sz w:val="24"/>
          <w:szCs w:val="24"/>
        </w:rPr>
      </w:pPr>
      <w:r>
        <w:rPr>
          <w:rFonts w:asciiTheme="minorHAnsi" w:hAnsiTheme="minorHAnsi" w:cstheme="minorHAnsi"/>
          <w:bCs/>
          <w:color w:val="000000"/>
          <w:sz w:val="24"/>
          <w:szCs w:val="24"/>
        </w:rPr>
        <w:t>La consultoría será desarrollada bajo la coordinación de la Dirección Nacional de Cambio Climático (DNCC), conforme a las necesidades operativas del proyecto y las normativas aplicables. El/la consultor/a desarrollará sus funciones en coordinación con el Departamento de Inventario y Reportes (DIR) y el equipo técnico del proyecto, deberá asistir a reuniones técnicas y actividades institucionales requeridas.</w:t>
      </w:r>
    </w:p>
    <w:p w14:paraId="19FE32C3" w14:textId="7E27E4D3" w:rsidR="00520ECF" w:rsidRPr="00520ECF" w:rsidRDefault="00520ECF" w:rsidP="00520ECF">
      <w:pPr>
        <w:pBdr>
          <w:top w:val="nil"/>
          <w:left w:val="nil"/>
          <w:bottom w:val="nil"/>
          <w:right w:val="nil"/>
          <w:between w:val="nil"/>
        </w:pBdr>
        <w:jc w:val="both"/>
        <w:rPr>
          <w:rFonts w:asciiTheme="minorHAnsi" w:hAnsiTheme="minorHAnsi" w:cstheme="minorHAnsi"/>
          <w:bCs/>
          <w:color w:val="000000"/>
          <w:sz w:val="24"/>
          <w:szCs w:val="24"/>
        </w:rPr>
      </w:pPr>
      <w:r>
        <w:rPr>
          <w:rFonts w:asciiTheme="minorHAnsi" w:hAnsiTheme="minorHAnsi" w:cstheme="minorHAnsi"/>
          <w:bCs/>
          <w:color w:val="000000"/>
          <w:sz w:val="24"/>
          <w:szCs w:val="24"/>
        </w:rPr>
        <w:t>Asimismo, deberá coordinar y mantener articulación técnica con el Instituto Nacional de Estadística (INE), en su calidad de entidad de acompañamiento técnico-estadístico del proceso, participando en las reuniones, revisiones y actividades que sean convocadas en el marco de dicho proyecto.</w:t>
      </w:r>
    </w:p>
    <w:p w14:paraId="3EB3DD5C" w14:textId="77777777" w:rsidR="00197D7C" w:rsidRPr="00D852A3" w:rsidRDefault="004F242F">
      <w:pPr>
        <w:numPr>
          <w:ilvl w:val="0"/>
          <w:numId w:val="5"/>
        </w:numPr>
        <w:pBdr>
          <w:top w:val="nil"/>
          <w:left w:val="nil"/>
          <w:bottom w:val="nil"/>
          <w:right w:val="nil"/>
          <w:between w:val="nil"/>
        </w:pBdr>
        <w:jc w:val="both"/>
        <w:rPr>
          <w:rFonts w:asciiTheme="minorHAnsi" w:hAnsiTheme="minorHAnsi" w:cstheme="minorHAnsi"/>
          <w:color w:val="000000"/>
          <w:sz w:val="24"/>
          <w:szCs w:val="24"/>
        </w:rPr>
      </w:pPr>
      <w:r w:rsidRPr="00D852A3">
        <w:rPr>
          <w:rFonts w:asciiTheme="minorHAnsi" w:hAnsiTheme="minorHAnsi" w:cstheme="minorHAnsi"/>
          <w:b/>
          <w:color w:val="000000"/>
          <w:sz w:val="24"/>
          <w:szCs w:val="24"/>
        </w:rPr>
        <w:t>REMUNERACION Y FORMA DE PAGO</w:t>
      </w:r>
    </w:p>
    <w:p w14:paraId="153FD9D5" w14:textId="0F4A7290" w:rsidR="00197D7C" w:rsidRPr="00D852A3" w:rsidRDefault="004F242F">
      <w:pPr>
        <w:spacing w:after="0" w:line="240" w:lineRule="auto"/>
        <w:jc w:val="both"/>
        <w:rPr>
          <w:rFonts w:asciiTheme="minorHAnsi" w:hAnsiTheme="minorHAnsi" w:cstheme="minorHAnsi"/>
          <w:sz w:val="24"/>
          <w:szCs w:val="24"/>
        </w:rPr>
      </w:pPr>
      <w:r w:rsidRPr="00D852A3">
        <w:rPr>
          <w:rFonts w:asciiTheme="minorHAnsi" w:hAnsiTheme="minorHAnsi" w:cstheme="minorHAnsi"/>
          <w:sz w:val="24"/>
          <w:szCs w:val="24"/>
        </w:rPr>
        <w:t xml:space="preserve">La remuneración asignada para el cargo de </w:t>
      </w:r>
      <w:r w:rsidR="000E1AF1" w:rsidRPr="000E1AF1">
        <w:rPr>
          <w:rFonts w:asciiTheme="minorHAnsi" w:hAnsiTheme="minorHAnsi" w:cstheme="minorHAnsi"/>
          <w:b/>
          <w:sz w:val="24"/>
          <w:szCs w:val="24"/>
        </w:rPr>
        <w:t xml:space="preserve">Consultor/a Estadístico/a de apoyo para la preparación del Inventario Nacional de Gases de Efecto Invernadero (INGEI) de Paraguay </w:t>
      </w:r>
      <w:r w:rsidRPr="00D852A3">
        <w:rPr>
          <w:rFonts w:asciiTheme="minorHAnsi" w:hAnsiTheme="minorHAnsi" w:cstheme="minorHAnsi"/>
          <w:sz w:val="24"/>
          <w:szCs w:val="24"/>
        </w:rPr>
        <w:t>será abonada contra entrega de factura y aprobación de informes por parte de la Dirección Nacional de Cambio Climático.</w:t>
      </w:r>
    </w:p>
    <w:p w14:paraId="4D9477D3" w14:textId="77777777" w:rsidR="00197D7C" w:rsidRPr="00D852A3" w:rsidRDefault="00197D7C">
      <w:pPr>
        <w:spacing w:after="0" w:line="240" w:lineRule="auto"/>
        <w:jc w:val="both"/>
        <w:rPr>
          <w:rFonts w:asciiTheme="minorHAnsi" w:hAnsiTheme="minorHAnsi" w:cstheme="minorHAnsi"/>
          <w:b/>
          <w:sz w:val="24"/>
          <w:szCs w:val="24"/>
        </w:rPr>
      </w:pPr>
    </w:p>
    <w:p w14:paraId="53C5C360" w14:textId="77777777" w:rsidR="00197D7C" w:rsidRPr="00D852A3" w:rsidRDefault="004F242F">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D852A3">
        <w:rPr>
          <w:rFonts w:asciiTheme="minorHAnsi" w:hAnsiTheme="minorHAnsi" w:cstheme="minorHAnsi"/>
          <w:b/>
          <w:color w:val="000000"/>
          <w:sz w:val="24"/>
          <w:szCs w:val="24"/>
        </w:rPr>
        <w:t>PRODUCTOS</w:t>
      </w:r>
    </w:p>
    <w:tbl>
      <w:tblPr>
        <w:tblStyle w:val="a"/>
        <w:tblW w:w="894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0"/>
        <w:gridCol w:w="2460"/>
      </w:tblGrid>
      <w:tr w:rsidR="00197D7C" w:rsidRPr="00D852A3" w14:paraId="0150980D" w14:textId="77777777">
        <w:trPr>
          <w:jc w:val="center"/>
        </w:trPr>
        <w:tc>
          <w:tcPr>
            <w:tcW w:w="64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E51F07" w14:textId="77777777" w:rsidR="00197D7C" w:rsidRPr="00D852A3" w:rsidRDefault="004F242F">
            <w:pPr>
              <w:jc w:val="both"/>
              <w:rPr>
                <w:rFonts w:asciiTheme="minorHAnsi" w:hAnsiTheme="minorHAnsi" w:cstheme="minorHAnsi"/>
                <w:b/>
              </w:rPr>
            </w:pPr>
            <w:r w:rsidRPr="00D852A3">
              <w:rPr>
                <w:rFonts w:asciiTheme="minorHAnsi" w:hAnsiTheme="minorHAnsi" w:cstheme="minorHAnsi"/>
                <w:b/>
              </w:rPr>
              <w:t>Resultados esperados y productos a entregar:</w:t>
            </w:r>
          </w:p>
        </w:tc>
        <w:tc>
          <w:tcPr>
            <w:tcW w:w="24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E431A0" w14:textId="77777777" w:rsidR="00197D7C" w:rsidRPr="00D852A3" w:rsidRDefault="004F242F">
            <w:pPr>
              <w:jc w:val="both"/>
              <w:rPr>
                <w:rFonts w:asciiTheme="minorHAnsi" w:hAnsiTheme="minorHAnsi" w:cstheme="minorHAnsi"/>
                <w:b/>
              </w:rPr>
            </w:pPr>
            <w:r w:rsidRPr="00D852A3">
              <w:rPr>
                <w:rFonts w:asciiTheme="minorHAnsi" w:hAnsiTheme="minorHAnsi" w:cstheme="minorHAnsi"/>
                <w:b/>
              </w:rPr>
              <w:t>Fecha de entrega</w:t>
            </w:r>
          </w:p>
        </w:tc>
      </w:tr>
      <w:tr w:rsidR="00CD6C1D" w:rsidRPr="00D852A3" w14:paraId="61C7C205" w14:textId="77777777" w:rsidTr="003312FE">
        <w:trPr>
          <w:trHeight w:val="841"/>
          <w:jc w:val="center"/>
        </w:trPr>
        <w:tc>
          <w:tcPr>
            <w:tcW w:w="6480" w:type="dxa"/>
            <w:tcBorders>
              <w:top w:val="single" w:sz="4" w:space="0" w:color="000000"/>
              <w:left w:val="single" w:sz="4" w:space="0" w:color="000000"/>
              <w:bottom w:val="single" w:sz="4" w:space="0" w:color="000000"/>
              <w:right w:val="single" w:sz="4" w:space="0" w:color="000000"/>
            </w:tcBorders>
          </w:tcPr>
          <w:p w14:paraId="2C78E059" w14:textId="75A0427C" w:rsidR="00852070" w:rsidRPr="00D852A3" w:rsidRDefault="00CD6C1D" w:rsidP="00852070">
            <w:pPr>
              <w:pBdr>
                <w:top w:val="nil"/>
                <w:left w:val="nil"/>
                <w:bottom w:val="nil"/>
                <w:right w:val="nil"/>
                <w:between w:val="nil"/>
              </w:pBdr>
              <w:spacing w:after="160"/>
              <w:jc w:val="both"/>
              <w:rPr>
                <w:rFonts w:asciiTheme="minorHAnsi" w:hAnsiTheme="minorHAnsi" w:cstheme="minorHAnsi"/>
                <w:color w:val="000000"/>
              </w:rPr>
            </w:pPr>
            <w:r w:rsidRPr="00D852A3">
              <w:rPr>
                <w:rFonts w:asciiTheme="minorHAnsi" w:hAnsiTheme="minorHAnsi" w:cstheme="minorHAnsi"/>
                <w:b/>
              </w:rPr>
              <w:t>Producto 1:</w:t>
            </w:r>
            <w:r w:rsidRPr="00D852A3">
              <w:rPr>
                <w:rFonts w:asciiTheme="minorHAnsi" w:hAnsiTheme="minorHAnsi" w:cstheme="minorHAnsi"/>
              </w:rPr>
              <w:t xml:space="preserve"> </w:t>
            </w:r>
          </w:p>
          <w:p w14:paraId="6ADADC64" w14:textId="5E5B6BB5" w:rsidR="00852070" w:rsidRPr="00852070" w:rsidRDefault="00823683" w:rsidP="00852070">
            <w:pPr>
              <w:pBdr>
                <w:top w:val="nil"/>
                <w:left w:val="nil"/>
                <w:bottom w:val="nil"/>
                <w:right w:val="nil"/>
                <w:between w:val="nil"/>
              </w:pBdr>
              <w:jc w:val="both"/>
              <w:rPr>
                <w:sz w:val="24"/>
                <w:szCs w:val="24"/>
              </w:rPr>
            </w:pPr>
            <w:r>
              <w:rPr>
                <w:sz w:val="24"/>
                <w:szCs w:val="24"/>
              </w:rPr>
              <w:t xml:space="preserve">- </w:t>
            </w:r>
            <w:r w:rsidR="00852070" w:rsidRPr="00852070">
              <w:rPr>
                <w:sz w:val="24"/>
                <w:szCs w:val="24"/>
              </w:rPr>
              <w:t>Informe técnico que aborde la exploración de los datos (estadísticas descriptivas, distribución etc.) y los vacíos de información mediante métodos estadísticos para los sectores de Energía, Procesos Industriales y Uso de Productos (IPPU) y Residuos del Inventario Nacional de Gases de Efecto Invernadero (INGEI). Deberá incluir:</w:t>
            </w:r>
          </w:p>
          <w:p w14:paraId="75E153A5" w14:textId="7A5EF452" w:rsidR="00CD6C1D" w:rsidRDefault="00852070" w:rsidP="00852070">
            <w:pPr>
              <w:pBdr>
                <w:top w:val="nil"/>
                <w:left w:val="nil"/>
                <w:bottom w:val="nil"/>
                <w:right w:val="nil"/>
                <w:between w:val="nil"/>
              </w:pBdr>
              <w:jc w:val="both"/>
              <w:rPr>
                <w:color w:val="000000"/>
                <w:sz w:val="24"/>
                <w:szCs w:val="24"/>
              </w:rPr>
            </w:pPr>
            <w:r w:rsidRPr="00292C66">
              <w:rPr>
                <w:color w:val="000000"/>
                <w:sz w:val="24"/>
                <w:szCs w:val="24"/>
              </w:rPr>
              <w:t>- Metodología aplicada, calculando los datos según los lineamientos del Volumen I de las Directrices del IPCC de 2006 y su Refinamiento de 2019.</w:t>
            </w:r>
          </w:p>
          <w:p w14:paraId="68E07204" w14:textId="77777777" w:rsidR="00852070" w:rsidRDefault="00852070" w:rsidP="00852070">
            <w:pPr>
              <w:pBdr>
                <w:top w:val="nil"/>
                <w:left w:val="nil"/>
                <w:bottom w:val="nil"/>
                <w:right w:val="nil"/>
                <w:between w:val="nil"/>
              </w:pBdr>
              <w:jc w:val="both"/>
              <w:rPr>
                <w:color w:val="000000"/>
                <w:sz w:val="24"/>
                <w:szCs w:val="24"/>
              </w:rPr>
            </w:pPr>
            <w:r>
              <w:rPr>
                <w:color w:val="000000"/>
                <w:sz w:val="24"/>
                <w:szCs w:val="24"/>
              </w:rPr>
              <w:t xml:space="preserve">- </w:t>
            </w:r>
            <w:r w:rsidRPr="00292C66">
              <w:rPr>
                <w:color w:val="000000"/>
                <w:sz w:val="24"/>
                <w:szCs w:val="24"/>
              </w:rPr>
              <w:t>Interpretación y descripción de los resultados arrojados con visualizaciones gráficas por categorías y/o subcategorías</w:t>
            </w:r>
            <w:r>
              <w:rPr>
                <w:color w:val="000000"/>
                <w:sz w:val="24"/>
                <w:szCs w:val="24"/>
              </w:rPr>
              <w:t>.</w:t>
            </w:r>
          </w:p>
          <w:p w14:paraId="66D1FC04" w14:textId="72E92EAF" w:rsidR="00852070" w:rsidRPr="00292C66" w:rsidRDefault="00852070" w:rsidP="00852070">
            <w:pPr>
              <w:pBdr>
                <w:top w:val="nil"/>
                <w:left w:val="nil"/>
                <w:bottom w:val="nil"/>
                <w:right w:val="nil"/>
                <w:between w:val="nil"/>
              </w:pBdr>
              <w:jc w:val="both"/>
              <w:rPr>
                <w:color w:val="000000"/>
                <w:sz w:val="24"/>
                <w:szCs w:val="24"/>
              </w:rPr>
            </w:pPr>
            <w:r w:rsidRPr="00292C66">
              <w:rPr>
                <w:color w:val="000000"/>
                <w:sz w:val="24"/>
                <w:szCs w:val="24"/>
              </w:rPr>
              <w:t>- Planillas editables utilizadas para los cálculos.</w:t>
            </w:r>
          </w:p>
          <w:p w14:paraId="20BE1C84" w14:textId="72EBC4E5" w:rsidR="00852070" w:rsidRPr="00292C66" w:rsidRDefault="00852070" w:rsidP="00852070">
            <w:pPr>
              <w:pBdr>
                <w:top w:val="nil"/>
                <w:left w:val="nil"/>
                <w:bottom w:val="nil"/>
                <w:right w:val="nil"/>
                <w:between w:val="nil"/>
              </w:pBdr>
              <w:jc w:val="both"/>
              <w:rPr>
                <w:color w:val="000000"/>
                <w:sz w:val="24"/>
                <w:szCs w:val="24"/>
              </w:rPr>
            </w:pPr>
            <w:r w:rsidRPr="00292C66">
              <w:rPr>
                <w:color w:val="000000"/>
                <w:sz w:val="24"/>
                <w:szCs w:val="24"/>
              </w:rPr>
              <w:t>- Documentación metodológica requerida para la Sección de Metodologías del DIN.</w:t>
            </w:r>
          </w:p>
          <w:p w14:paraId="0D8710D3" w14:textId="76B0DEC4" w:rsidR="00852070" w:rsidRPr="00852070" w:rsidRDefault="00852070" w:rsidP="00852070">
            <w:pPr>
              <w:pBdr>
                <w:top w:val="nil"/>
                <w:left w:val="nil"/>
                <w:bottom w:val="nil"/>
                <w:right w:val="nil"/>
                <w:between w:val="nil"/>
              </w:pBdr>
              <w:jc w:val="both"/>
              <w:rPr>
                <w:color w:val="000000"/>
                <w:sz w:val="24"/>
                <w:szCs w:val="24"/>
              </w:rPr>
            </w:pPr>
            <w:r w:rsidRPr="00292C66">
              <w:rPr>
                <w:color w:val="000000"/>
                <w:sz w:val="24"/>
                <w:szCs w:val="24"/>
              </w:rPr>
              <w:t>- Capacitación a técnicos y socialización de los resultados.</w:t>
            </w:r>
          </w:p>
        </w:tc>
        <w:tc>
          <w:tcPr>
            <w:tcW w:w="2460" w:type="dxa"/>
            <w:tcBorders>
              <w:top w:val="single" w:sz="4" w:space="0" w:color="000000"/>
              <w:left w:val="single" w:sz="4" w:space="0" w:color="000000"/>
              <w:bottom w:val="single" w:sz="4" w:space="0" w:color="000000"/>
              <w:right w:val="single" w:sz="4" w:space="0" w:color="000000"/>
            </w:tcBorders>
            <w:vAlign w:val="center"/>
          </w:tcPr>
          <w:p w14:paraId="53403896" w14:textId="260AC1FD" w:rsidR="00CD6C1D" w:rsidRPr="00D852A3" w:rsidRDefault="00CD6C1D" w:rsidP="00CD6C1D">
            <w:pPr>
              <w:spacing w:line="276" w:lineRule="auto"/>
              <w:jc w:val="both"/>
              <w:rPr>
                <w:rFonts w:asciiTheme="minorHAnsi" w:hAnsiTheme="minorHAnsi" w:cstheme="minorHAnsi"/>
                <w:color w:val="000000"/>
              </w:rPr>
            </w:pPr>
            <w:r w:rsidRPr="00D852A3">
              <w:rPr>
                <w:rFonts w:asciiTheme="minorHAnsi" w:hAnsiTheme="minorHAnsi" w:cstheme="minorHAnsi"/>
                <w:color w:val="000000"/>
              </w:rPr>
              <w:t>30 días de la firma del contrato.</w:t>
            </w:r>
          </w:p>
        </w:tc>
      </w:tr>
      <w:tr w:rsidR="00CD6C1D" w:rsidRPr="00D852A3" w14:paraId="7398E090" w14:textId="77777777" w:rsidTr="008C263F">
        <w:trPr>
          <w:trHeight w:val="694"/>
          <w:jc w:val="center"/>
        </w:trPr>
        <w:tc>
          <w:tcPr>
            <w:tcW w:w="6480" w:type="dxa"/>
            <w:tcBorders>
              <w:top w:val="single" w:sz="4" w:space="0" w:color="000000"/>
              <w:left w:val="single" w:sz="4" w:space="0" w:color="000000"/>
              <w:bottom w:val="single" w:sz="4" w:space="0" w:color="000000"/>
              <w:right w:val="single" w:sz="4" w:space="0" w:color="000000"/>
            </w:tcBorders>
          </w:tcPr>
          <w:p w14:paraId="4484E0D9" w14:textId="55CF07C8" w:rsidR="00852070" w:rsidRDefault="00CD6C1D" w:rsidP="00852070">
            <w:pPr>
              <w:pBdr>
                <w:top w:val="nil"/>
                <w:left w:val="nil"/>
                <w:bottom w:val="nil"/>
                <w:right w:val="nil"/>
                <w:between w:val="nil"/>
              </w:pBdr>
              <w:spacing w:after="160"/>
              <w:jc w:val="both"/>
              <w:rPr>
                <w:rFonts w:asciiTheme="minorHAnsi" w:hAnsiTheme="minorHAnsi" w:cstheme="minorHAnsi"/>
                <w:b/>
              </w:rPr>
            </w:pPr>
            <w:r w:rsidRPr="00D852A3">
              <w:rPr>
                <w:rFonts w:asciiTheme="minorHAnsi" w:hAnsiTheme="minorHAnsi" w:cstheme="minorHAnsi"/>
                <w:b/>
              </w:rPr>
              <w:t>Producto 2</w:t>
            </w:r>
            <w:r w:rsidR="00823683">
              <w:rPr>
                <w:rFonts w:asciiTheme="minorHAnsi" w:hAnsiTheme="minorHAnsi" w:cstheme="minorHAnsi"/>
                <w:b/>
              </w:rPr>
              <w:t>:</w:t>
            </w:r>
          </w:p>
          <w:p w14:paraId="4660997F" w14:textId="72C67E4C" w:rsidR="00823683" w:rsidRPr="00823683" w:rsidRDefault="00823683" w:rsidP="00823683">
            <w:pPr>
              <w:pStyle w:val="Prrafodelista"/>
              <w:numPr>
                <w:ilvl w:val="0"/>
                <w:numId w:val="13"/>
              </w:numPr>
              <w:pBdr>
                <w:top w:val="nil"/>
                <w:left w:val="nil"/>
                <w:bottom w:val="nil"/>
                <w:right w:val="nil"/>
                <w:between w:val="nil"/>
              </w:pBdr>
              <w:spacing w:after="160"/>
              <w:ind w:left="176" w:hanging="176"/>
              <w:jc w:val="both"/>
              <w:rPr>
                <w:rFonts w:asciiTheme="minorHAnsi" w:hAnsiTheme="minorHAnsi" w:cstheme="minorHAnsi"/>
                <w:b/>
              </w:rPr>
            </w:pPr>
            <w:r w:rsidRPr="0075624D">
              <w:rPr>
                <w:sz w:val="24"/>
                <w:szCs w:val="24"/>
              </w:rPr>
              <w:t xml:space="preserve">Informe técnico que aborde la exploración de los datos </w:t>
            </w:r>
            <w:sdt>
              <w:sdtPr>
                <w:rPr>
                  <w:sz w:val="24"/>
                  <w:szCs w:val="24"/>
                </w:rPr>
                <w:tag w:val="goog_rdk_199"/>
                <w:id w:val="576802828"/>
              </w:sdtPr>
              <w:sdtContent>
                <w:r w:rsidRPr="00292C66">
                  <w:rPr>
                    <w:sz w:val="24"/>
                    <w:szCs w:val="24"/>
                  </w:rPr>
                  <w:t xml:space="preserve">(estadísticas descriptivas, distribución etc.) y </w:t>
                </w:r>
              </w:sdtContent>
            </w:sdt>
            <w:r w:rsidRPr="0075624D">
              <w:rPr>
                <w:sz w:val="24"/>
                <w:szCs w:val="24"/>
              </w:rPr>
              <w:t>los vacíos de información mediante modelos estadísticos para los sectores de Agricultura y Ganadería; Uso de la Tierra, Cambio de Uso de la Tierra y Silvicultura (UTCUTS) del Inventario Nacional de Gases de Efecto Invernadero (INGEI). Deberá incluir:</w:t>
            </w:r>
          </w:p>
          <w:p w14:paraId="7C4F996B" w14:textId="1DD0D87D" w:rsidR="00823683" w:rsidRPr="00823683" w:rsidRDefault="00823683" w:rsidP="00823683">
            <w:pPr>
              <w:pStyle w:val="Prrafodelista"/>
              <w:numPr>
                <w:ilvl w:val="0"/>
                <w:numId w:val="13"/>
              </w:numPr>
              <w:pBdr>
                <w:top w:val="nil"/>
                <w:left w:val="nil"/>
                <w:bottom w:val="nil"/>
                <w:right w:val="nil"/>
                <w:between w:val="nil"/>
              </w:pBdr>
              <w:spacing w:after="160"/>
              <w:ind w:left="176" w:hanging="176"/>
              <w:jc w:val="both"/>
              <w:rPr>
                <w:rFonts w:asciiTheme="minorHAnsi" w:hAnsiTheme="minorHAnsi" w:cstheme="minorHAnsi"/>
                <w:b/>
              </w:rPr>
            </w:pPr>
            <w:r w:rsidRPr="0075624D">
              <w:rPr>
                <w:sz w:val="24"/>
                <w:szCs w:val="24"/>
              </w:rPr>
              <w:t>Metodología aplicada, calculando los datos según los lineamientos del Volumen I de las Directrices del IPCC de 2006 y su Refinamiento de 2019.</w:t>
            </w:r>
          </w:p>
          <w:p w14:paraId="26945AC7" w14:textId="66C6B3FA" w:rsidR="00823683" w:rsidRPr="00823683" w:rsidRDefault="00823683" w:rsidP="00823683">
            <w:pPr>
              <w:pStyle w:val="Prrafodelista"/>
              <w:numPr>
                <w:ilvl w:val="0"/>
                <w:numId w:val="13"/>
              </w:numPr>
              <w:pBdr>
                <w:top w:val="nil"/>
                <w:left w:val="nil"/>
                <w:bottom w:val="nil"/>
                <w:right w:val="nil"/>
                <w:between w:val="nil"/>
              </w:pBdr>
              <w:spacing w:after="160"/>
              <w:ind w:left="176" w:hanging="176"/>
              <w:jc w:val="both"/>
              <w:rPr>
                <w:rFonts w:asciiTheme="minorHAnsi" w:hAnsiTheme="minorHAnsi" w:cstheme="minorHAnsi"/>
                <w:b/>
              </w:rPr>
            </w:pPr>
            <w:r w:rsidRPr="0075624D">
              <w:rPr>
                <w:sz w:val="24"/>
                <w:szCs w:val="24"/>
              </w:rPr>
              <w:t>Interpretación y descripción de los resultados arrojados con visualizaciones gráficas por categorías y/o subcategorías.</w:t>
            </w:r>
          </w:p>
          <w:p w14:paraId="68052CBF" w14:textId="2B2ECBDD" w:rsidR="00823683" w:rsidRPr="0075624D" w:rsidRDefault="00823683" w:rsidP="00823683">
            <w:pPr>
              <w:pBdr>
                <w:top w:val="nil"/>
                <w:left w:val="nil"/>
                <w:bottom w:val="nil"/>
                <w:right w:val="nil"/>
                <w:between w:val="nil"/>
              </w:pBdr>
              <w:jc w:val="both"/>
              <w:rPr>
                <w:sz w:val="24"/>
                <w:szCs w:val="24"/>
              </w:rPr>
            </w:pPr>
            <w:r w:rsidRPr="0075624D">
              <w:rPr>
                <w:sz w:val="24"/>
                <w:szCs w:val="24"/>
              </w:rPr>
              <w:t>-Planillas editables utilizadas para los cálculos.</w:t>
            </w:r>
          </w:p>
          <w:p w14:paraId="150D861A" w14:textId="5BC22B3F" w:rsidR="00823683" w:rsidRPr="0075624D" w:rsidRDefault="00823683" w:rsidP="00823683">
            <w:pPr>
              <w:pBdr>
                <w:top w:val="nil"/>
                <w:left w:val="nil"/>
                <w:bottom w:val="nil"/>
                <w:right w:val="nil"/>
                <w:between w:val="nil"/>
              </w:pBdr>
              <w:jc w:val="both"/>
              <w:rPr>
                <w:sz w:val="24"/>
                <w:szCs w:val="24"/>
              </w:rPr>
            </w:pPr>
            <w:r w:rsidRPr="0075624D">
              <w:rPr>
                <w:sz w:val="24"/>
                <w:szCs w:val="24"/>
              </w:rPr>
              <w:t>- Documentación</w:t>
            </w:r>
            <w:r w:rsidR="0075624D">
              <w:rPr>
                <w:sz w:val="24"/>
                <w:szCs w:val="24"/>
              </w:rPr>
              <w:t xml:space="preserve"> </w:t>
            </w:r>
            <w:r w:rsidRPr="0075624D">
              <w:rPr>
                <w:sz w:val="24"/>
                <w:szCs w:val="24"/>
              </w:rPr>
              <w:t>metodológica requerida para la Sección de Metodologías del DIN.</w:t>
            </w:r>
          </w:p>
          <w:p w14:paraId="627B1991" w14:textId="12E109CC" w:rsidR="00C33593" w:rsidRPr="00D852A3" w:rsidRDefault="00823683" w:rsidP="0075624D">
            <w:pPr>
              <w:pBdr>
                <w:top w:val="nil"/>
                <w:left w:val="nil"/>
                <w:bottom w:val="nil"/>
                <w:right w:val="nil"/>
                <w:between w:val="nil"/>
              </w:pBdr>
              <w:spacing w:after="160"/>
              <w:jc w:val="both"/>
              <w:rPr>
                <w:rFonts w:asciiTheme="minorHAnsi" w:hAnsiTheme="minorHAnsi" w:cstheme="minorHAnsi"/>
                <w:b/>
              </w:rPr>
            </w:pPr>
            <w:sdt>
              <w:sdtPr>
                <w:rPr>
                  <w:sz w:val="24"/>
                  <w:szCs w:val="24"/>
                </w:rPr>
                <w:tag w:val="goog_rdk_215"/>
                <w:id w:val="-412944049"/>
              </w:sdtPr>
              <w:sdtContent>
                <w:r w:rsidRPr="0075624D">
                  <w:rPr>
                    <w:sz w:val="24"/>
                    <w:szCs w:val="24"/>
                  </w:rPr>
                  <w:t xml:space="preserve">- </w:t>
                </w:r>
              </w:sdtContent>
            </w:sdt>
            <w:r w:rsidRPr="00292C66">
              <w:rPr>
                <w:color w:val="000000"/>
                <w:sz w:val="24"/>
                <w:szCs w:val="24"/>
              </w:rPr>
              <w:t xml:space="preserve">Capacitación a técnicos y </w:t>
            </w:r>
            <w:sdt>
              <w:sdtPr>
                <w:rPr>
                  <w:sz w:val="24"/>
                  <w:szCs w:val="24"/>
                </w:rPr>
                <w:tag w:val="goog_rdk_216"/>
                <w:id w:val="-1692031851"/>
              </w:sdtPr>
              <w:sdtContent>
                <w:r w:rsidRPr="0075624D">
                  <w:rPr>
                    <w:sz w:val="24"/>
                    <w:szCs w:val="24"/>
                  </w:rPr>
                  <w:t>socialización de los resultados.</w:t>
                </w:r>
              </w:sdtContent>
            </w:sdt>
          </w:p>
        </w:tc>
        <w:tc>
          <w:tcPr>
            <w:tcW w:w="2460" w:type="dxa"/>
            <w:tcBorders>
              <w:top w:val="single" w:sz="4" w:space="0" w:color="000000"/>
              <w:left w:val="single" w:sz="4" w:space="0" w:color="000000"/>
              <w:bottom w:val="single" w:sz="4" w:space="0" w:color="000000"/>
              <w:right w:val="single" w:sz="4" w:space="0" w:color="000000"/>
            </w:tcBorders>
            <w:vAlign w:val="center"/>
          </w:tcPr>
          <w:p w14:paraId="2790A865" w14:textId="237E0FBC" w:rsidR="00CD6C1D" w:rsidRPr="00D852A3" w:rsidRDefault="00CD6C1D" w:rsidP="00CD6C1D">
            <w:pPr>
              <w:jc w:val="both"/>
              <w:rPr>
                <w:rFonts w:asciiTheme="minorHAnsi" w:hAnsiTheme="minorHAnsi" w:cstheme="minorHAnsi"/>
                <w:color w:val="000000"/>
              </w:rPr>
            </w:pPr>
            <w:r w:rsidRPr="00D852A3">
              <w:rPr>
                <w:rFonts w:asciiTheme="minorHAnsi" w:hAnsiTheme="minorHAnsi" w:cstheme="minorHAnsi"/>
                <w:color w:val="000000"/>
              </w:rPr>
              <w:t>60 días de la firma del contrato.</w:t>
            </w:r>
          </w:p>
        </w:tc>
      </w:tr>
      <w:tr w:rsidR="00CD6C1D" w:rsidRPr="00D852A3" w14:paraId="3857E885" w14:textId="77777777" w:rsidTr="000454E2">
        <w:trPr>
          <w:trHeight w:val="1336"/>
          <w:jc w:val="center"/>
        </w:trPr>
        <w:tc>
          <w:tcPr>
            <w:tcW w:w="6480" w:type="dxa"/>
            <w:tcBorders>
              <w:top w:val="single" w:sz="4" w:space="0" w:color="000000"/>
              <w:left w:val="single" w:sz="4" w:space="0" w:color="000000"/>
              <w:bottom w:val="single" w:sz="4" w:space="0" w:color="000000"/>
              <w:right w:val="single" w:sz="4" w:space="0" w:color="000000"/>
            </w:tcBorders>
          </w:tcPr>
          <w:p w14:paraId="2C6ABA54" w14:textId="77777777" w:rsidR="00CD6C1D" w:rsidRDefault="00CD6C1D" w:rsidP="00CD6C1D">
            <w:pPr>
              <w:jc w:val="both"/>
              <w:rPr>
                <w:rFonts w:asciiTheme="minorHAnsi" w:hAnsiTheme="minorHAnsi" w:cstheme="minorHAnsi"/>
                <w:b/>
              </w:rPr>
            </w:pPr>
            <w:r w:rsidRPr="00D852A3">
              <w:rPr>
                <w:rFonts w:asciiTheme="minorHAnsi" w:hAnsiTheme="minorHAnsi" w:cstheme="minorHAnsi"/>
                <w:b/>
              </w:rPr>
              <w:t xml:space="preserve">Producto 3:  </w:t>
            </w:r>
          </w:p>
          <w:p w14:paraId="00EC3D53" w14:textId="188A9C8A" w:rsidR="00D4022E" w:rsidRDefault="00D4022E" w:rsidP="00CD6C1D">
            <w:pPr>
              <w:jc w:val="both"/>
              <w:rPr>
                <w:sz w:val="24"/>
                <w:szCs w:val="24"/>
              </w:rPr>
            </w:pPr>
            <w:r w:rsidRPr="00292C66">
              <w:rPr>
                <w:rFonts w:eastAsia="Quattrocento Sans"/>
                <w:color w:val="000000"/>
                <w:sz w:val="24"/>
                <w:szCs w:val="24"/>
              </w:rPr>
              <w:t>Informe técnico que contenga los valores con las respectivas justificaciones, cálculos y análisis con enfoque cuantitativo y cualitativo de incertidumbre de datos de actividad, de factores de emisión y agregada por subcategorías, categorías y sector. Deberá incluir:</w:t>
            </w:r>
          </w:p>
          <w:p w14:paraId="3E719067" w14:textId="40E305B1" w:rsidR="00D4022E" w:rsidRPr="00292C66" w:rsidRDefault="00D4022E" w:rsidP="00D4022E">
            <w:pPr>
              <w:pBdr>
                <w:top w:val="nil"/>
                <w:left w:val="nil"/>
                <w:bottom w:val="nil"/>
                <w:right w:val="nil"/>
                <w:between w:val="nil"/>
              </w:pBdr>
              <w:rPr>
                <w:rFonts w:eastAsia="Arial"/>
                <w:color w:val="000000"/>
                <w:sz w:val="24"/>
                <w:szCs w:val="24"/>
              </w:rPr>
            </w:pPr>
            <w:r w:rsidRPr="00292C66">
              <w:rPr>
                <w:rFonts w:eastAsia="Quattrocento Sans"/>
                <w:color w:val="000000"/>
                <w:sz w:val="24"/>
                <w:szCs w:val="24"/>
              </w:rPr>
              <w:t>- Análisis método 1 (propagación de errores) y, cuando sea viable, método 2 (Montecarlo).</w:t>
            </w:r>
          </w:p>
          <w:p w14:paraId="25BD8DCB" w14:textId="69C3C618" w:rsidR="00D4022E" w:rsidRPr="00292C66" w:rsidRDefault="00D4022E" w:rsidP="00D4022E">
            <w:pPr>
              <w:pBdr>
                <w:top w:val="nil"/>
                <w:left w:val="nil"/>
                <w:bottom w:val="nil"/>
                <w:right w:val="nil"/>
                <w:between w:val="nil"/>
              </w:pBdr>
              <w:rPr>
                <w:rFonts w:eastAsia="Arial"/>
                <w:color w:val="000000"/>
                <w:sz w:val="24"/>
                <w:szCs w:val="24"/>
              </w:rPr>
            </w:pPr>
            <w:r w:rsidRPr="00292C66">
              <w:rPr>
                <w:rFonts w:eastAsia="Quattrocento Sans"/>
                <w:color w:val="000000"/>
                <w:sz w:val="24"/>
                <w:szCs w:val="24"/>
              </w:rPr>
              <w:t>- Análisis de sensibilidad.</w:t>
            </w:r>
          </w:p>
          <w:p w14:paraId="73F57E6F" w14:textId="436CBEEE" w:rsidR="00D4022E" w:rsidRPr="00292C66" w:rsidRDefault="00D4022E" w:rsidP="00D4022E">
            <w:pPr>
              <w:pBdr>
                <w:top w:val="nil"/>
                <w:left w:val="nil"/>
                <w:bottom w:val="nil"/>
                <w:right w:val="nil"/>
                <w:between w:val="nil"/>
              </w:pBdr>
              <w:rPr>
                <w:rFonts w:eastAsia="Arial"/>
                <w:color w:val="000000"/>
                <w:sz w:val="24"/>
                <w:szCs w:val="24"/>
              </w:rPr>
            </w:pPr>
            <w:r w:rsidRPr="00292C66">
              <w:rPr>
                <w:rFonts w:eastAsia="Quattrocento Sans"/>
                <w:color w:val="000000"/>
                <w:sz w:val="24"/>
                <w:szCs w:val="24"/>
              </w:rPr>
              <w:t>- Evaluación de correlación temporal.</w:t>
            </w:r>
          </w:p>
          <w:p w14:paraId="2C00526D" w14:textId="794EE931" w:rsidR="00D4022E" w:rsidRPr="00292C66" w:rsidRDefault="00D4022E" w:rsidP="00D4022E">
            <w:pPr>
              <w:pBdr>
                <w:top w:val="nil"/>
                <w:left w:val="nil"/>
                <w:bottom w:val="nil"/>
                <w:right w:val="nil"/>
                <w:between w:val="nil"/>
              </w:pBdr>
              <w:rPr>
                <w:rFonts w:eastAsia="Arial"/>
                <w:color w:val="000000"/>
                <w:sz w:val="24"/>
                <w:szCs w:val="24"/>
              </w:rPr>
            </w:pPr>
            <w:r w:rsidRPr="00292C66">
              <w:rPr>
                <w:rFonts w:eastAsia="Quattrocento Sans"/>
                <w:color w:val="000000"/>
                <w:sz w:val="24"/>
                <w:szCs w:val="24"/>
              </w:rPr>
              <w:t>- Documentación de supuestos metodológicos.</w:t>
            </w:r>
          </w:p>
          <w:p w14:paraId="2366DADE" w14:textId="0F0D6234" w:rsidR="00D4022E" w:rsidRPr="00292C66" w:rsidRDefault="00D4022E" w:rsidP="00D4022E">
            <w:pPr>
              <w:pBdr>
                <w:top w:val="nil"/>
                <w:left w:val="nil"/>
                <w:bottom w:val="nil"/>
                <w:right w:val="nil"/>
                <w:between w:val="nil"/>
              </w:pBdr>
              <w:rPr>
                <w:rFonts w:eastAsia="Arial"/>
                <w:color w:val="000000"/>
                <w:sz w:val="24"/>
                <w:szCs w:val="24"/>
              </w:rPr>
            </w:pPr>
            <w:r w:rsidRPr="00292C66">
              <w:rPr>
                <w:rFonts w:eastAsia="Quattrocento Sans"/>
                <w:color w:val="000000"/>
                <w:sz w:val="24"/>
                <w:szCs w:val="24"/>
              </w:rPr>
              <w:t>- Planillas editables utilizadas para los cálculos.</w:t>
            </w:r>
          </w:p>
          <w:p w14:paraId="3BE74420" w14:textId="0C2B0895" w:rsidR="00D4022E" w:rsidRPr="00292C66" w:rsidRDefault="00D4022E" w:rsidP="00D4022E">
            <w:pPr>
              <w:pBdr>
                <w:top w:val="nil"/>
                <w:left w:val="nil"/>
                <w:bottom w:val="nil"/>
                <w:right w:val="nil"/>
                <w:between w:val="nil"/>
              </w:pBdr>
              <w:rPr>
                <w:rFonts w:eastAsia="Arial"/>
                <w:color w:val="000000"/>
                <w:sz w:val="24"/>
                <w:szCs w:val="24"/>
              </w:rPr>
            </w:pPr>
            <w:r w:rsidRPr="00292C66">
              <w:rPr>
                <w:rFonts w:eastAsia="Quattrocento Sans"/>
                <w:color w:val="000000"/>
                <w:sz w:val="24"/>
                <w:szCs w:val="24"/>
              </w:rPr>
              <w:t>- Borrador del capítulo de incertidumbre para el Documento de socialización de los resultados.</w:t>
            </w:r>
          </w:p>
          <w:p w14:paraId="322D526C" w14:textId="7F112468" w:rsidR="00D4022E" w:rsidRPr="00292C66" w:rsidRDefault="00D4022E" w:rsidP="00D4022E">
            <w:pPr>
              <w:pBdr>
                <w:top w:val="nil"/>
                <w:left w:val="nil"/>
                <w:bottom w:val="nil"/>
                <w:right w:val="nil"/>
                <w:between w:val="nil"/>
              </w:pBdr>
              <w:rPr>
                <w:rFonts w:eastAsia="Quattrocento Sans"/>
                <w:color w:val="000000"/>
                <w:sz w:val="24"/>
                <w:szCs w:val="24"/>
              </w:rPr>
            </w:pPr>
            <w:r w:rsidRPr="00292C66">
              <w:rPr>
                <w:rFonts w:eastAsia="Quattrocento Sans"/>
                <w:color w:val="000000"/>
                <w:sz w:val="24"/>
                <w:szCs w:val="24"/>
              </w:rPr>
              <w:t xml:space="preserve">- Cálculos y análisis según los lineamientos del Volumen I de las Directrices del IPCC de 2006, su Refinamiento de 2019 y las </w:t>
            </w:r>
            <w:proofErr w:type="spellStart"/>
            <w:r w:rsidRPr="00292C66">
              <w:rPr>
                <w:rFonts w:eastAsia="Quattrocento Sans"/>
                <w:color w:val="000000"/>
                <w:sz w:val="24"/>
                <w:szCs w:val="24"/>
              </w:rPr>
              <w:t>MPGs</w:t>
            </w:r>
            <w:proofErr w:type="spellEnd"/>
            <w:r w:rsidRPr="00292C66">
              <w:rPr>
                <w:rFonts w:eastAsia="Quattrocento Sans"/>
                <w:color w:val="000000"/>
                <w:sz w:val="24"/>
                <w:szCs w:val="24"/>
              </w:rPr>
              <w:t>.</w:t>
            </w:r>
          </w:p>
          <w:p w14:paraId="76E2CBE4" w14:textId="2E02B53D" w:rsidR="00D4022E" w:rsidRPr="004F7487" w:rsidRDefault="00D4022E" w:rsidP="004F7487">
            <w:pPr>
              <w:jc w:val="both"/>
              <w:rPr>
                <w:rFonts w:asciiTheme="minorHAnsi" w:hAnsiTheme="minorHAnsi" w:cstheme="minorHAnsi"/>
                <w:bCs/>
              </w:rPr>
            </w:pPr>
            <w:r w:rsidRPr="004F7487">
              <w:rPr>
                <w:sz w:val="24"/>
                <w:szCs w:val="24"/>
              </w:rPr>
              <w:t xml:space="preserve">- </w:t>
            </w:r>
            <w:r w:rsidRPr="004F7487">
              <w:rPr>
                <w:color w:val="000000"/>
                <w:sz w:val="24"/>
                <w:szCs w:val="24"/>
              </w:rPr>
              <w:t xml:space="preserve">Capacitación a técnicos y </w:t>
            </w:r>
            <w:r w:rsidRPr="004F7487">
              <w:rPr>
                <w:sz w:val="24"/>
                <w:szCs w:val="24"/>
              </w:rPr>
              <w:t>socialización de los resultados.</w:t>
            </w:r>
          </w:p>
        </w:tc>
        <w:tc>
          <w:tcPr>
            <w:tcW w:w="2460" w:type="dxa"/>
            <w:tcBorders>
              <w:top w:val="single" w:sz="4" w:space="0" w:color="000000"/>
              <w:left w:val="single" w:sz="4" w:space="0" w:color="000000"/>
              <w:bottom w:val="single" w:sz="4" w:space="0" w:color="000000"/>
              <w:right w:val="single" w:sz="4" w:space="0" w:color="000000"/>
            </w:tcBorders>
            <w:vAlign w:val="center"/>
          </w:tcPr>
          <w:p w14:paraId="75B4E8E7" w14:textId="0D565F72" w:rsidR="00CD6C1D" w:rsidRPr="00D852A3" w:rsidRDefault="00CD6C1D" w:rsidP="00CD6C1D">
            <w:pPr>
              <w:jc w:val="both"/>
              <w:rPr>
                <w:rFonts w:asciiTheme="minorHAnsi" w:hAnsiTheme="minorHAnsi" w:cstheme="minorHAnsi"/>
                <w:color w:val="000000"/>
              </w:rPr>
            </w:pPr>
            <w:r w:rsidRPr="00D852A3">
              <w:rPr>
                <w:rFonts w:asciiTheme="minorHAnsi" w:hAnsiTheme="minorHAnsi" w:cstheme="minorHAnsi"/>
                <w:color w:val="000000"/>
              </w:rPr>
              <w:t>90 días de la firma del contrato.</w:t>
            </w:r>
          </w:p>
        </w:tc>
      </w:tr>
      <w:tr w:rsidR="00CD6C1D" w:rsidRPr="00D852A3" w14:paraId="6F35F814" w14:textId="77777777" w:rsidTr="000454E2">
        <w:trPr>
          <w:jc w:val="center"/>
        </w:trPr>
        <w:tc>
          <w:tcPr>
            <w:tcW w:w="6480" w:type="dxa"/>
            <w:tcBorders>
              <w:top w:val="single" w:sz="4" w:space="0" w:color="000000"/>
              <w:left w:val="single" w:sz="4" w:space="0" w:color="000000"/>
              <w:bottom w:val="single" w:sz="4" w:space="0" w:color="000000"/>
              <w:right w:val="single" w:sz="4" w:space="0" w:color="000000"/>
            </w:tcBorders>
          </w:tcPr>
          <w:p w14:paraId="1E8DCECE" w14:textId="77777777" w:rsidR="00CD6C1D" w:rsidRDefault="00CD6C1D" w:rsidP="00CD6C1D">
            <w:pPr>
              <w:jc w:val="both"/>
              <w:rPr>
                <w:rFonts w:asciiTheme="minorHAnsi" w:hAnsiTheme="minorHAnsi" w:cstheme="minorHAnsi"/>
                <w:b/>
              </w:rPr>
            </w:pPr>
            <w:r w:rsidRPr="00D852A3">
              <w:rPr>
                <w:rFonts w:asciiTheme="minorHAnsi" w:hAnsiTheme="minorHAnsi" w:cstheme="minorHAnsi"/>
                <w:b/>
              </w:rPr>
              <w:t xml:space="preserve">Producto 4: </w:t>
            </w:r>
          </w:p>
          <w:p w14:paraId="2511904F" w14:textId="77777777" w:rsidR="004F7487" w:rsidRDefault="004F7487" w:rsidP="004F7487">
            <w:pPr>
              <w:jc w:val="both"/>
              <w:rPr>
                <w:color w:val="000000" w:themeColor="text1"/>
                <w:sz w:val="24"/>
                <w:szCs w:val="24"/>
              </w:rPr>
            </w:pPr>
            <w:r w:rsidRPr="00292C66">
              <w:rPr>
                <w:color w:val="000000" w:themeColor="text1"/>
                <w:sz w:val="24"/>
                <w:szCs w:val="24"/>
              </w:rPr>
              <w:t xml:space="preserve">Informe técnico que contenga el análisis de categorías principales con evaluación de nivel y tendencia del Método 1 y 2 con enfoque cuantitativo y cualitativo. Deberá incluir: </w:t>
            </w:r>
          </w:p>
          <w:p w14:paraId="2DD9F47A" w14:textId="77777777" w:rsidR="004F7487" w:rsidRPr="00292C66" w:rsidRDefault="004F7487" w:rsidP="004F7487">
            <w:pPr>
              <w:jc w:val="both"/>
              <w:rPr>
                <w:color w:val="000000" w:themeColor="text1"/>
                <w:sz w:val="24"/>
                <w:szCs w:val="24"/>
              </w:rPr>
            </w:pPr>
            <w:r w:rsidRPr="00292C66">
              <w:rPr>
                <w:color w:val="000000" w:themeColor="text1"/>
                <w:sz w:val="24"/>
                <w:szCs w:val="24"/>
              </w:rPr>
              <w:t>- Identificación de categorías principales.</w:t>
            </w:r>
          </w:p>
          <w:p w14:paraId="1D84B4A1" w14:textId="77777777" w:rsidR="004F7487" w:rsidRPr="00292C66" w:rsidRDefault="004F7487" w:rsidP="004F7487">
            <w:pPr>
              <w:jc w:val="both"/>
              <w:rPr>
                <w:color w:val="000000" w:themeColor="text1"/>
                <w:sz w:val="24"/>
                <w:szCs w:val="24"/>
              </w:rPr>
            </w:pPr>
            <w:r w:rsidRPr="00292C66">
              <w:rPr>
                <w:color w:val="000000" w:themeColor="text1"/>
                <w:sz w:val="24"/>
                <w:szCs w:val="24"/>
              </w:rPr>
              <w:t>- Interpretación sectorial.</w:t>
            </w:r>
          </w:p>
          <w:p w14:paraId="071242D5" w14:textId="77777777" w:rsidR="004F7487" w:rsidRPr="00292C66" w:rsidRDefault="004F7487" w:rsidP="004F7487">
            <w:pPr>
              <w:jc w:val="both"/>
              <w:rPr>
                <w:color w:val="000000" w:themeColor="text1"/>
                <w:sz w:val="24"/>
                <w:szCs w:val="24"/>
              </w:rPr>
            </w:pPr>
            <w:r w:rsidRPr="00292C66">
              <w:rPr>
                <w:color w:val="000000" w:themeColor="text1"/>
                <w:sz w:val="24"/>
                <w:szCs w:val="24"/>
              </w:rPr>
              <w:t>- Análisis de impulsores.</w:t>
            </w:r>
          </w:p>
          <w:p w14:paraId="629A9DA6" w14:textId="77777777" w:rsidR="004F7487" w:rsidRPr="00292C66" w:rsidRDefault="004F7487" w:rsidP="004F7487">
            <w:pPr>
              <w:jc w:val="both"/>
              <w:rPr>
                <w:color w:val="000000" w:themeColor="text1"/>
                <w:sz w:val="24"/>
                <w:szCs w:val="24"/>
              </w:rPr>
            </w:pPr>
            <w:r w:rsidRPr="00292C66">
              <w:rPr>
                <w:color w:val="000000" w:themeColor="text1"/>
                <w:sz w:val="24"/>
                <w:szCs w:val="24"/>
              </w:rPr>
              <w:t>- Visualizaciones gráficas.</w:t>
            </w:r>
          </w:p>
          <w:p w14:paraId="3AC244EF" w14:textId="77777777" w:rsidR="004F7487" w:rsidRDefault="004F7487" w:rsidP="004F7487">
            <w:pPr>
              <w:jc w:val="both"/>
              <w:rPr>
                <w:color w:val="000000" w:themeColor="text1"/>
                <w:sz w:val="24"/>
                <w:szCs w:val="24"/>
              </w:rPr>
            </w:pPr>
            <w:r w:rsidRPr="00292C66">
              <w:rPr>
                <w:color w:val="000000" w:themeColor="text1"/>
                <w:sz w:val="24"/>
                <w:szCs w:val="24"/>
              </w:rPr>
              <w:t>- Planillas editables utilizadas para los cálculos.</w:t>
            </w:r>
          </w:p>
          <w:p w14:paraId="5688418A" w14:textId="77777777" w:rsidR="004F7487" w:rsidRPr="00292C66" w:rsidRDefault="004F7487" w:rsidP="004F7487">
            <w:pPr>
              <w:jc w:val="both"/>
              <w:rPr>
                <w:color w:val="000000" w:themeColor="text1"/>
                <w:sz w:val="24"/>
                <w:szCs w:val="24"/>
              </w:rPr>
            </w:pPr>
            <w:r>
              <w:rPr>
                <w:color w:val="000000" w:themeColor="text1"/>
                <w:sz w:val="24"/>
                <w:szCs w:val="24"/>
              </w:rPr>
              <w:t xml:space="preserve">- </w:t>
            </w:r>
            <w:r w:rsidRPr="00292C66">
              <w:rPr>
                <w:color w:val="000000" w:themeColor="text1"/>
                <w:sz w:val="24"/>
                <w:szCs w:val="24"/>
              </w:rPr>
              <w:t xml:space="preserve">Cálculos y análisis según los lineamientos del Volumen I de las Directrices del IPCC de 2006, su Refinamiento de 2019 y las </w:t>
            </w:r>
            <w:proofErr w:type="spellStart"/>
            <w:r w:rsidRPr="00292C66">
              <w:rPr>
                <w:color w:val="000000" w:themeColor="text1"/>
                <w:sz w:val="24"/>
                <w:szCs w:val="24"/>
              </w:rPr>
              <w:t>MPGs</w:t>
            </w:r>
            <w:proofErr w:type="spellEnd"/>
            <w:r w:rsidRPr="00292C66">
              <w:rPr>
                <w:color w:val="000000" w:themeColor="text1"/>
                <w:sz w:val="24"/>
                <w:szCs w:val="24"/>
              </w:rPr>
              <w:t>.</w:t>
            </w:r>
          </w:p>
          <w:p w14:paraId="44472233" w14:textId="77777777" w:rsidR="004F7487" w:rsidRPr="00292C66" w:rsidRDefault="004F7487" w:rsidP="004F7487">
            <w:pPr>
              <w:jc w:val="both"/>
              <w:rPr>
                <w:color w:val="000000" w:themeColor="text1"/>
                <w:sz w:val="24"/>
                <w:szCs w:val="24"/>
              </w:rPr>
            </w:pPr>
            <w:r w:rsidRPr="00292C66">
              <w:rPr>
                <w:color w:val="000000" w:themeColor="text1"/>
                <w:sz w:val="24"/>
                <w:szCs w:val="24"/>
              </w:rPr>
              <w:t>- Documento metodológico consolidado que sistematice los procedimientos, supuestos y cálculos desarrollados durante la consultoría, a fin de fortalecer la trazabilidad, replicabilidad y sostenibilidad técnica institucional.</w:t>
            </w:r>
          </w:p>
          <w:p w14:paraId="0CAE3A97" w14:textId="77F7DAE9" w:rsidR="004F7487" w:rsidRPr="004F7487" w:rsidRDefault="004F7487" w:rsidP="004F7487">
            <w:pPr>
              <w:jc w:val="both"/>
              <w:rPr>
                <w:color w:val="000000" w:themeColor="text1"/>
                <w:sz w:val="24"/>
                <w:szCs w:val="24"/>
              </w:rPr>
            </w:pPr>
            <w:r w:rsidRPr="00292C66">
              <w:rPr>
                <w:color w:val="000000" w:themeColor="text1"/>
                <w:sz w:val="24"/>
                <w:szCs w:val="24"/>
              </w:rPr>
              <w:t>- Capacitación a técnicos y socialización de los resultados.</w:t>
            </w:r>
          </w:p>
        </w:tc>
        <w:tc>
          <w:tcPr>
            <w:tcW w:w="2460" w:type="dxa"/>
            <w:tcBorders>
              <w:top w:val="single" w:sz="4" w:space="0" w:color="000000"/>
              <w:left w:val="single" w:sz="4" w:space="0" w:color="000000"/>
              <w:bottom w:val="single" w:sz="4" w:space="0" w:color="000000"/>
              <w:right w:val="single" w:sz="4" w:space="0" w:color="000000"/>
            </w:tcBorders>
            <w:vAlign w:val="center"/>
          </w:tcPr>
          <w:p w14:paraId="130A6296" w14:textId="5AEBF255" w:rsidR="00CD6C1D" w:rsidRPr="00D852A3" w:rsidRDefault="00CD6C1D" w:rsidP="00CD6C1D">
            <w:pPr>
              <w:spacing w:line="276" w:lineRule="auto"/>
              <w:jc w:val="both"/>
              <w:rPr>
                <w:rFonts w:asciiTheme="minorHAnsi" w:hAnsiTheme="minorHAnsi" w:cstheme="minorHAnsi"/>
                <w:color w:val="000000"/>
              </w:rPr>
            </w:pPr>
            <w:r w:rsidRPr="00D852A3">
              <w:rPr>
                <w:rFonts w:asciiTheme="minorHAnsi" w:hAnsiTheme="minorHAnsi" w:cstheme="minorHAnsi"/>
                <w:color w:val="000000"/>
              </w:rPr>
              <w:t xml:space="preserve"> 120 días a la firma del contrato.</w:t>
            </w:r>
          </w:p>
          <w:p w14:paraId="1074E305" w14:textId="77777777" w:rsidR="00CD6C1D" w:rsidRPr="00D852A3" w:rsidRDefault="00CD6C1D" w:rsidP="00CD6C1D">
            <w:pPr>
              <w:jc w:val="both"/>
              <w:rPr>
                <w:rFonts w:asciiTheme="minorHAnsi" w:hAnsiTheme="minorHAnsi" w:cstheme="minorHAnsi"/>
                <w:color w:val="000000"/>
              </w:rPr>
            </w:pPr>
          </w:p>
        </w:tc>
      </w:tr>
    </w:tbl>
    <w:p w14:paraId="1A237B45" w14:textId="77777777" w:rsidR="00197D7C" w:rsidRPr="00D852A3" w:rsidRDefault="00197D7C">
      <w:pPr>
        <w:spacing w:after="0" w:line="240" w:lineRule="auto"/>
        <w:jc w:val="both"/>
        <w:rPr>
          <w:rFonts w:asciiTheme="minorHAnsi" w:hAnsiTheme="minorHAnsi" w:cstheme="minorHAnsi"/>
          <w:b/>
          <w:sz w:val="24"/>
          <w:szCs w:val="24"/>
        </w:rPr>
      </w:pPr>
    </w:p>
    <w:sectPr w:rsidR="00197D7C" w:rsidRPr="00D852A3">
      <w:headerReference w:type="default" r:id="rId10"/>
      <w:pgSz w:w="11906" w:h="16838"/>
      <w:pgMar w:top="1669" w:right="1440" w:bottom="1440" w:left="1440" w:header="705"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9508CC" w14:textId="77777777" w:rsidR="007865F9" w:rsidRDefault="007865F9">
      <w:pPr>
        <w:spacing w:after="0" w:line="240" w:lineRule="auto"/>
      </w:pPr>
      <w:r>
        <w:separator/>
      </w:r>
    </w:p>
  </w:endnote>
  <w:endnote w:type="continuationSeparator" w:id="0">
    <w:p w14:paraId="4114315D" w14:textId="77777777" w:rsidR="007865F9" w:rsidRDefault="00786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MT">
    <w:altName w:val="Arial"/>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Quattrocento Sans">
    <w:charset w:val="00"/>
    <w:family w:val="swiss"/>
    <w:pitch w:val="variable"/>
    <w:sig w:usb0="800000BF" w:usb1="40000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30B784" w14:textId="77777777" w:rsidR="007865F9" w:rsidRDefault="007865F9">
      <w:pPr>
        <w:spacing w:after="0" w:line="240" w:lineRule="auto"/>
      </w:pPr>
      <w:r>
        <w:separator/>
      </w:r>
    </w:p>
  </w:footnote>
  <w:footnote w:type="continuationSeparator" w:id="0">
    <w:p w14:paraId="57CAFA7D" w14:textId="77777777" w:rsidR="007865F9" w:rsidRDefault="007865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6D0A81" w14:textId="77777777" w:rsidR="00197D7C" w:rsidRDefault="004F242F">
    <w:pPr>
      <w:pBdr>
        <w:top w:val="nil"/>
        <w:left w:val="nil"/>
        <w:bottom w:val="nil"/>
        <w:right w:val="nil"/>
        <w:between w:val="nil"/>
      </w:pBdr>
      <w:tabs>
        <w:tab w:val="center" w:pos="4680"/>
        <w:tab w:val="right" w:pos="9360"/>
      </w:tabs>
      <w:spacing w:after="0" w:line="240" w:lineRule="auto"/>
      <w:rPr>
        <w:color w:val="000000"/>
      </w:rPr>
    </w:pPr>
    <w:r>
      <w:rPr>
        <w:noProof/>
      </w:rPr>
      <w:drawing>
        <wp:anchor distT="0" distB="0" distL="114300" distR="114300" simplePos="0" relativeHeight="251658240" behindDoc="0" locked="0" layoutInCell="1" hidden="0" allowOverlap="1" wp14:anchorId="0B120133" wp14:editId="4CC4A6D7">
          <wp:simplePos x="0" y="0"/>
          <wp:positionH relativeFrom="column">
            <wp:posOffset>3512820</wp:posOffset>
          </wp:positionH>
          <wp:positionV relativeFrom="paragraph">
            <wp:posOffset>-325119</wp:posOffset>
          </wp:positionV>
          <wp:extent cx="2218690" cy="842645"/>
          <wp:effectExtent l="0" t="0" r="0" b="0"/>
          <wp:wrapSquare wrapText="bothSides" distT="0" distB="0" distL="114300" distR="114300"/>
          <wp:docPr id="79863034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218690" cy="842645"/>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2F41717B" wp14:editId="7CAB3A52">
          <wp:simplePos x="0" y="0"/>
          <wp:positionH relativeFrom="column">
            <wp:posOffset>1</wp:posOffset>
          </wp:positionH>
          <wp:positionV relativeFrom="paragraph">
            <wp:posOffset>-324484</wp:posOffset>
          </wp:positionV>
          <wp:extent cx="2203450" cy="829310"/>
          <wp:effectExtent l="0" t="0" r="0" b="0"/>
          <wp:wrapNone/>
          <wp:docPr id="79863034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2203450" cy="82931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707514"/>
    <w:multiLevelType w:val="hybridMultilevel"/>
    <w:tmpl w:val="72689DFC"/>
    <w:lvl w:ilvl="0" w:tplc="03BC988A">
      <w:numFmt w:val="bullet"/>
      <w:lvlText w:val="-"/>
      <w:lvlJc w:val="left"/>
      <w:pPr>
        <w:ind w:left="720" w:hanging="360"/>
      </w:pPr>
      <w:rPr>
        <w:rFonts w:ascii="Calibri" w:eastAsia="Calibri" w:hAnsi="Calibri" w:cs="Calibri" w:hint="default"/>
        <w:b w:val="0"/>
        <w:sz w:val="22"/>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 w15:restartNumberingAfterBreak="0">
    <w:nsid w:val="0CE56EFB"/>
    <w:multiLevelType w:val="multilevel"/>
    <w:tmpl w:val="C658B6B0"/>
    <w:lvl w:ilvl="0">
      <w:start w:val="240"/>
      <w:numFmt w:val="bullet"/>
      <w:lvlText w:val="-"/>
      <w:lvlJc w:val="left"/>
      <w:pPr>
        <w:ind w:left="360" w:hanging="360"/>
      </w:pPr>
      <w:rPr>
        <w:rFonts w:ascii="Calibri" w:eastAsia="Calibri" w:hAnsi="Calibri" w:cs="Calibri"/>
        <w:b/>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2" w15:restartNumberingAfterBreak="0">
    <w:nsid w:val="248E224E"/>
    <w:multiLevelType w:val="multilevel"/>
    <w:tmpl w:val="742AE132"/>
    <w:lvl w:ilvl="0">
      <w:start w:val="240"/>
      <w:numFmt w:val="bullet"/>
      <w:lvlText w:val="-"/>
      <w:lvlJc w:val="left"/>
      <w:pPr>
        <w:ind w:left="360" w:hanging="360"/>
      </w:pPr>
      <w:rPr>
        <w:rFonts w:ascii="Calibri" w:eastAsia="Calibri" w:hAnsi="Calibri" w:cs="Calibri"/>
        <w:b/>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3" w15:restartNumberingAfterBreak="0">
    <w:nsid w:val="359F4518"/>
    <w:multiLevelType w:val="multilevel"/>
    <w:tmpl w:val="BCB60DF4"/>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25F677A"/>
    <w:multiLevelType w:val="multilevel"/>
    <w:tmpl w:val="0944D8E4"/>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7"/>
      </w:pPr>
      <w:rPr>
        <w:b/>
      </w:rPr>
    </w:lvl>
    <w:lvl w:ilvl="4">
      <w:start w:val="1"/>
      <w:numFmt w:val="decimal"/>
      <w:lvlText w:val="%1.%2.%3.%4.%5."/>
      <w:lvlJc w:val="left"/>
      <w:pPr>
        <w:ind w:left="2232" w:hanging="792"/>
      </w:pPr>
      <w:rPr>
        <w:b/>
      </w:rPr>
    </w:lvl>
    <w:lvl w:ilvl="5">
      <w:start w:val="1"/>
      <w:numFmt w:val="decimal"/>
      <w:lvlText w:val="%1.%2.%3.%4.%5.%6."/>
      <w:lvlJc w:val="left"/>
      <w:pPr>
        <w:ind w:left="2736" w:hanging="935"/>
      </w:pPr>
      <w:rPr>
        <w:b/>
      </w:rPr>
    </w:lvl>
    <w:lvl w:ilvl="6">
      <w:start w:val="1"/>
      <w:numFmt w:val="decimal"/>
      <w:lvlText w:val="%1.%2.%3.%4.%5.%6.%7."/>
      <w:lvlJc w:val="left"/>
      <w:pPr>
        <w:ind w:left="3240" w:hanging="1080"/>
      </w:pPr>
      <w:rPr>
        <w:b/>
      </w:rPr>
    </w:lvl>
    <w:lvl w:ilvl="7">
      <w:start w:val="1"/>
      <w:numFmt w:val="decimal"/>
      <w:lvlText w:val="%1.%2.%3.%4.%5.%6.%7.%8."/>
      <w:lvlJc w:val="left"/>
      <w:pPr>
        <w:ind w:left="3744" w:hanging="1224"/>
      </w:pPr>
      <w:rPr>
        <w:b/>
      </w:rPr>
    </w:lvl>
    <w:lvl w:ilvl="8">
      <w:start w:val="1"/>
      <w:numFmt w:val="decimal"/>
      <w:lvlText w:val="%1.%2.%3.%4.%5.%6.%7.%8.%9."/>
      <w:lvlJc w:val="left"/>
      <w:pPr>
        <w:ind w:left="4320" w:hanging="1440"/>
      </w:pPr>
      <w:rPr>
        <w:b/>
      </w:rPr>
    </w:lvl>
  </w:abstractNum>
  <w:abstractNum w:abstractNumId="5" w15:restartNumberingAfterBreak="0">
    <w:nsid w:val="4A1247D8"/>
    <w:multiLevelType w:val="multilevel"/>
    <w:tmpl w:val="CE004DD0"/>
    <w:lvl w:ilvl="0">
      <w:start w:val="24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CDC5C64"/>
    <w:multiLevelType w:val="multilevel"/>
    <w:tmpl w:val="86D03C84"/>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DAC03D4"/>
    <w:multiLevelType w:val="multilevel"/>
    <w:tmpl w:val="F6548E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C631764"/>
    <w:multiLevelType w:val="multilevel"/>
    <w:tmpl w:val="5F4091AC"/>
    <w:lvl w:ilvl="0">
      <w:numFmt w:val="bullet"/>
      <w:lvlText w:val="-"/>
      <w:lvlJc w:val="left"/>
      <w:pPr>
        <w:ind w:left="720" w:hanging="360"/>
      </w:pPr>
      <w:rPr>
        <w:rFonts w:ascii="Arial MT" w:eastAsia="Arial MT" w:hAnsi="Arial MT" w:cs="Arial MT"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CAB5B49"/>
    <w:multiLevelType w:val="multilevel"/>
    <w:tmpl w:val="1B9CB2C6"/>
    <w:lvl w:ilvl="0">
      <w:numFmt w:val="bullet"/>
      <w:lvlText w:val="-"/>
      <w:lvlJc w:val="left"/>
      <w:pPr>
        <w:ind w:left="360" w:hanging="360"/>
      </w:pPr>
      <w:rPr>
        <w:rFonts w:ascii="Arial MT" w:eastAsia="Arial MT" w:hAnsi="Arial MT" w:cs="Arial MT" w:hint="default"/>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7"/>
      </w:pPr>
      <w:rPr>
        <w:b/>
      </w:rPr>
    </w:lvl>
    <w:lvl w:ilvl="4">
      <w:start w:val="1"/>
      <w:numFmt w:val="decimal"/>
      <w:lvlText w:val="%1.%2.%3.%4.%5."/>
      <w:lvlJc w:val="left"/>
      <w:pPr>
        <w:ind w:left="2232" w:hanging="792"/>
      </w:pPr>
      <w:rPr>
        <w:b/>
      </w:rPr>
    </w:lvl>
    <w:lvl w:ilvl="5">
      <w:start w:val="1"/>
      <w:numFmt w:val="decimal"/>
      <w:lvlText w:val="%1.%2.%3.%4.%5.%6."/>
      <w:lvlJc w:val="left"/>
      <w:pPr>
        <w:ind w:left="2736" w:hanging="935"/>
      </w:pPr>
      <w:rPr>
        <w:b/>
      </w:rPr>
    </w:lvl>
    <w:lvl w:ilvl="6">
      <w:start w:val="1"/>
      <w:numFmt w:val="decimal"/>
      <w:lvlText w:val="%1.%2.%3.%4.%5.%6.%7."/>
      <w:lvlJc w:val="left"/>
      <w:pPr>
        <w:ind w:left="3240" w:hanging="1080"/>
      </w:pPr>
      <w:rPr>
        <w:b/>
      </w:rPr>
    </w:lvl>
    <w:lvl w:ilvl="7">
      <w:start w:val="1"/>
      <w:numFmt w:val="decimal"/>
      <w:lvlText w:val="%1.%2.%3.%4.%5.%6.%7.%8."/>
      <w:lvlJc w:val="left"/>
      <w:pPr>
        <w:ind w:left="3744" w:hanging="1224"/>
      </w:pPr>
      <w:rPr>
        <w:b/>
      </w:rPr>
    </w:lvl>
    <w:lvl w:ilvl="8">
      <w:start w:val="1"/>
      <w:numFmt w:val="decimal"/>
      <w:lvlText w:val="%1.%2.%3.%4.%5.%6.%7.%8.%9."/>
      <w:lvlJc w:val="left"/>
      <w:pPr>
        <w:ind w:left="4320" w:hanging="1440"/>
      </w:pPr>
      <w:rPr>
        <w:b/>
      </w:rPr>
    </w:lvl>
  </w:abstractNum>
  <w:abstractNum w:abstractNumId="10" w15:restartNumberingAfterBreak="0">
    <w:nsid w:val="605263B9"/>
    <w:multiLevelType w:val="hybridMultilevel"/>
    <w:tmpl w:val="EC1EE1A0"/>
    <w:lvl w:ilvl="0" w:tplc="B11E7632">
      <w:numFmt w:val="bullet"/>
      <w:lvlText w:val="-"/>
      <w:lvlJc w:val="left"/>
      <w:pPr>
        <w:ind w:left="720" w:hanging="360"/>
      </w:pPr>
      <w:rPr>
        <w:rFonts w:ascii="Arial MT" w:eastAsia="Arial MT" w:hAnsi="Arial MT" w:cs="Arial MT"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1" w15:restartNumberingAfterBreak="0">
    <w:nsid w:val="63087FE4"/>
    <w:multiLevelType w:val="hybridMultilevel"/>
    <w:tmpl w:val="3350DCD4"/>
    <w:lvl w:ilvl="0" w:tplc="B11E7632">
      <w:numFmt w:val="bullet"/>
      <w:lvlText w:val="-"/>
      <w:lvlJc w:val="left"/>
      <w:pPr>
        <w:ind w:left="720" w:hanging="360"/>
      </w:pPr>
      <w:rPr>
        <w:rFonts w:ascii="Arial MT" w:eastAsia="Arial MT" w:hAnsi="Arial MT" w:cs="Arial MT"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2" w15:restartNumberingAfterBreak="0">
    <w:nsid w:val="6F89391B"/>
    <w:multiLevelType w:val="multilevel"/>
    <w:tmpl w:val="005C06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30567AE"/>
    <w:multiLevelType w:val="hybridMultilevel"/>
    <w:tmpl w:val="AF689D72"/>
    <w:lvl w:ilvl="0" w:tplc="B11E7632">
      <w:numFmt w:val="bullet"/>
      <w:lvlText w:val="-"/>
      <w:lvlJc w:val="left"/>
      <w:pPr>
        <w:ind w:left="720" w:hanging="360"/>
      </w:pPr>
      <w:rPr>
        <w:rFonts w:ascii="Arial MT" w:eastAsia="Arial MT" w:hAnsi="Arial MT" w:cs="Arial MT"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4" w15:restartNumberingAfterBreak="0">
    <w:nsid w:val="7409456C"/>
    <w:multiLevelType w:val="hybridMultilevel"/>
    <w:tmpl w:val="06A6720E"/>
    <w:lvl w:ilvl="0" w:tplc="B11E7632">
      <w:numFmt w:val="bullet"/>
      <w:lvlText w:val="-"/>
      <w:lvlJc w:val="left"/>
      <w:pPr>
        <w:ind w:left="720" w:hanging="360"/>
      </w:pPr>
      <w:rPr>
        <w:rFonts w:ascii="Arial MT" w:eastAsia="Arial MT" w:hAnsi="Arial MT" w:cs="Arial MT"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num w:numId="1" w16cid:durableId="1059549288">
    <w:abstractNumId w:val="5"/>
  </w:num>
  <w:num w:numId="2" w16cid:durableId="1392731852">
    <w:abstractNumId w:val="1"/>
  </w:num>
  <w:num w:numId="3" w16cid:durableId="1163741618">
    <w:abstractNumId w:val="2"/>
  </w:num>
  <w:num w:numId="4" w16cid:durableId="1269846574">
    <w:abstractNumId w:val="3"/>
  </w:num>
  <w:num w:numId="5" w16cid:durableId="28115411">
    <w:abstractNumId w:val="4"/>
  </w:num>
  <w:num w:numId="6" w16cid:durableId="1928225200">
    <w:abstractNumId w:val="10"/>
  </w:num>
  <w:num w:numId="7" w16cid:durableId="464197648">
    <w:abstractNumId w:val="13"/>
  </w:num>
  <w:num w:numId="8" w16cid:durableId="1996689683">
    <w:abstractNumId w:val="11"/>
  </w:num>
  <w:num w:numId="9" w16cid:durableId="1504710951">
    <w:abstractNumId w:val="14"/>
  </w:num>
  <w:num w:numId="10" w16cid:durableId="624969296">
    <w:abstractNumId w:val="7"/>
  </w:num>
  <w:num w:numId="11" w16cid:durableId="9575006">
    <w:abstractNumId w:val="9"/>
  </w:num>
  <w:num w:numId="12" w16cid:durableId="1319847550">
    <w:abstractNumId w:val="12"/>
  </w:num>
  <w:num w:numId="13" w16cid:durableId="287586394">
    <w:abstractNumId w:val="8"/>
  </w:num>
  <w:num w:numId="14" w16cid:durableId="1177580490">
    <w:abstractNumId w:val="6"/>
  </w:num>
  <w:num w:numId="15" w16cid:durableId="6497945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7D7C"/>
    <w:rsid w:val="00013B59"/>
    <w:rsid w:val="000202B4"/>
    <w:rsid w:val="00020B97"/>
    <w:rsid w:val="00027259"/>
    <w:rsid w:val="00031F71"/>
    <w:rsid w:val="00037874"/>
    <w:rsid w:val="00052FDE"/>
    <w:rsid w:val="000538A0"/>
    <w:rsid w:val="000621A9"/>
    <w:rsid w:val="000632E5"/>
    <w:rsid w:val="00093F12"/>
    <w:rsid w:val="000B4F21"/>
    <w:rsid w:val="000E1751"/>
    <w:rsid w:val="000E1AF1"/>
    <w:rsid w:val="000F78B2"/>
    <w:rsid w:val="00100147"/>
    <w:rsid w:val="00123720"/>
    <w:rsid w:val="0014243B"/>
    <w:rsid w:val="001469E8"/>
    <w:rsid w:val="0015087D"/>
    <w:rsid w:val="00161148"/>
    <w:rsid w:val="00174790"/>
    <w:rsid w:val="00197D7C"/>
    <w:rsid w:val="001A3BFD"/>
    <w:rsid w:val="001A4786"/>
    <w:rsid w:val="001A50F6"/>
    <w:rsid w:val="001B38A6"/>
    <w:rsid w:val="001D78DF"/>
    <w:rsid w:val="001F0764"/>
    <w:rsid w:val="001F4EE4"/>
    <w:rsid w:val="00202B3F"/>
    <w:rsid w:val="002208E4"/>
    <w:rsid w:val="002318B8"/>
    <w:rsid w:val="00271D41"/>
    <w:rsid w:val="00277E3F"/>
    <w:rsid w:val="00310547"/>
    <w:rsid w:val="00316C4F"/>
    <w:rsid w:val="00316E0D"/>
    <w:rsid w:val="00330D29"/>
    <w:rsid w:val="003312FE"/>
    <w:rsid w:val="0033612D"/>
    <w:rsid w:val="00355D81"/>
    <w:rsid w:val="003606E0"/>
    <w:rsid w:val="00367461"/>
    <w:rsid w:val="003A0915"/>
    <w:rsid w:val="003B1382"/>
    <w:rsid w:val="003C04C2"/>
    <w:rsid w:val="003C0B35"/>
    <w:rsid w:val="003D735D"/>
    <w:rsid w:val="003E0C75"/>
    <w:rsid w:val="004132E0"/>
    <w:rsid w:val="004607B0"/>
    <w:rsid w:val="00460F37"/>
    <w:rsid w:val="00465472"/>
    <w:rsid w:val="004A04E1"/>
    <w:rsid w:val="004D4239"/>
    <w:rsid w:val="004D5EEE"/>
    <w:rsid w:val="004D7AAF"/>
    <w:rsid w:val="004F242F"/>
    <w:rsid w:val="004F7487"/>
    <w:rsid w:val="00512BA1"/>
    <w:rsid w:val="00520ECF"/>
    <w:rsid w:val="00521A22"/>
    <w:rsid w:val="00523A70"/>
    <w:rsid w:val="005616A0"/>
    <w:rsid w:val="00596332"/>
    <w:rsid w:val="005A4A6A"/>
    <w:rsid w:val="005A4BD1"/>
    <w:rsid w:val="005B0BCA"/>
    <w:rsid w:val="005C169A"/>
    <w:rsid w:val="00622E8B"/>
    <w:rsid w:val="0062368E"/>
    <w:rsid w:val="0063182A"/>
    <w:rsid w:val="00634C82"/>
    <w:rsid w:val="006439B8"/>
    <w:rsid w:val="006476A2"/>
    <w:rsid w:val="00670F76"/>
    <w:rsid w:val="006E3DDF"/>
    <w:rsid w:val="007054B7"/>
    <w:rsid w:val="007348DA"/>
    <w:rsid w:val="00736206"/>
    <w:rsid w:val="00753902"/>
    <w:rsid w:val="0075624D"/>
    <w:rsid w:val="007625A0"/>
    <w:rsid w:val="00764337"/>
    <w:rsid w:val="007714F3"/>
    <w:rsid w:val="007865F9"/>
    <w:rsid w:val="007A504F"/>
    <w:rsid w:val="007A5375"/>
    <w:rsid w:val="007B20C4"/>
    <w:rsid w:val="007B40AD"/>
    <w:rsid w:val="007B5180"/>
    <w:rsid w:val="007C2424"/>
    <w:rsid w:val="007C52E0"/>
    <w:rsid w:val="007D5FC4"/>
    <w:rsid w:val="007D63C0"/>
    <w:rsid w:val="007E7178"/>
    <w:rsid w:val="007F29D9"/>
    <w:rsid w:val="00804EBF"/>
    <w:rsid w:val="00823683"/>
    <w:rsid w:val="00825C14"/>
    <w:rsid w:val="00836D89"/>
    <w:rsid w:val="00852070"/>
    <w:rsid w:val="00862EF5"/>
    <w:rsid w:val="008A6E18"/>
    <w:rsid w:val="008B6ED0"/>
    <w:rsid w:val="008C263F"/>
    <w:rsid w:val="008C5806"/>
    <w:rsid w:val="008E5D25"/>
    <w:rsid w:val="00901B62"/>
    <w:rsid w:val="00913ACE"/>
    <w:rsid w:val="00922DFC"/>
    <w:rsid w:val="00927911"/>
    <w:rsid w:val="00937545"/>
    <w:rsid w:val="0095747F"/>
    <w:rsid w:val="00962989"/>
    <w:rsid w:val="0096743E"/>
    <w:rsid w:val="00971568"/>
    <w:rsid w:val="00974BE7"/>
    <w:rsid w:val="009A74BC"/>
    <w:rsid w:val="009E3DD1"/>
    <w:rsid w:val="009E5030"/>
    <w:rsid w:val="009F4FDA"/>
    <w:rsid w:val="00A24269"/>
    <w:rsid w:val="00A27246"/>
    <w:rsid w:val="00A57A0A"/>
    <w:rsid w:val="00A63041"/>
    <w:rsid w:val="00A63DB3"/>
    <w:rsid w:val="00AB1F6A"/>
    <w:rsid w:val="00AC423B"/>
    <w:rsid w:val="00AE1C8D"/>
    <w:rsid w:val="00B10EA0"/>
    <w:rsid w:val="00B3671B"/>
    <w:rsid w:val="00B377FE"/>
    <w:rsid w:val="00B4677D"/>
    <w:rsid w:val="00B5609E"/>
    <w:rsid w:val="00BA0E09"/>
    <w:rsid w:val="00BA0F7E"/>
    <w:rsid w:val="00BB78A9"/>
    <w:rsid w:val="00BF5A20"/>
    <w:rsid w:val="00C06098"/>
    <w:rsid w:val="00C07BA6"/>
    <w:rsid w:val="00C33593"/>
    <w:rsid w:val="00C45CC6"/>
    <w:rsid w:val="00C7751F"/>
    <w:rsid w:val="00C8470A"/>
    <w:rsid w:val="00CA6C37"/>
    <w:rsid w:val="00CB5E67"/>
    <w:rsid w:val="00CB7B00"/>
    <w:rsid w:val="00CC76B9"/>
    <w:rsid w:val="00CD6C1D"/>
    <w:rsid w:val="00D01A19"/>
    <w:rsid w:val="00D05978"/>
    <w:rsid w:val="00D07A98"/>
    <w:rsid w:val="00D152F4"/>
    <w:rsid w:val="00D4022E"/>
    <w:rsid w:val="00D65E76"/>
    <w:rsid w:val="00D82BF0"/>
    <w:rsid w:val="00D84D0B"/>
    <w:rsid w:val="00D852A3"/>
    <w:rsid w:val="00D85E4F"/>
    <w:rsid w:val="00D96B5B"/>
    <w:rsid w:val="00DB4689"/>
    <w:rsid w:val="00DC2B33"/>
    <w:rsid w:val="00DD0A93"/>
    <w:rsid w:val="00DF3FF5"/>
    <w:rsid w:val="00E015DE"/>
    <w:rsid w:val="00E17F35"/>
    <w:rsid w:val="00E22D6C"/>
    <w:rsid w:val="00E2448E"/>
    <w:rsid w:val="00E52676"/>
    <w:rsid w:val="00E612F6"/>
    <w:rsid w:val="00E6425B"/>
    <w:rsid w:val="00E96400"/>
    <w:rsid w:val="00EB6BFF"/>
    <w:rsid w:val="00ED574C"/>
    <w:rsid w:val="00F2265E"/>
    <w:rsid w:val="00F34830"/>
    <w:rsid w:val="00F43C01"/>
    <w:rsid w:val="00FA048D"/>
    <w:rsid w:val="00FA06FC"/>
    <w:rsid w:val="00FB63FF"/>
    <w:rsid w:val="00FC0823"/>
    <w:rsid w:val="00FC3C32"/>
    <w:rsid w:val="00FE17DA"/>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07AD9"/>
  <w15:docId w15:val="{9E3F4BCC-83A0-4745-B1FA-A1A465BC6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1366268">
      <w:bodyDiv w:val="1"/>
      <w:marLeft w:val="0"/>
      <w:marRight w:val="0"/>
      <w:marTop w:val="0"/>
      <w:marBottom w:val="0"/>
      <w:divBdr>
        <w:top w:val="none" w:sz="0" w:space="0" w:color="auto"/>
        <w:left w:val="none" w:sz="0" w:space="0" w:color="auto"/>
        <w:bottom w:val="none" w:sz="0" w:space="0" w:color="auto"/>
        <w:right w:val="none" w:sz="0" w:space="0" w:color="auto"/>
      </w:divBdr>
    </w:div>
    <w:div w:id="375742757">
      <w:bodyDiv w:val="1"/>
      <w:marLeft w:val="0"/>
      <w:marRight w:val="0"/>
      <w:marTop w:val="0"/>
      <w:marBottom w:val="0"/>
      <w:divBdr>
        <w:top w:val="none" w:sz="0" w:space="0" w:color="auto"/>
        <w:left w:val="none" w:sz="0" w:space="0" w:color="auto"/>
        <w:bottom w:val="none" w:sz="0" w:space="0" w:color="auto"/>
        <w:right w:val="none" w:sz="0" w:space="0" w:color="auto"/>
      </w:divBdr>
    </w:div>
    <w:div w:id="931397842">
      <w:bodyDiv w:val="1"/>
      <w:marLeft w:val="0"/>
      <w:marRight w:val="0"/>
      <w:marTop w:val="0"/>
      <w:marBottom w:val="0"/>
      <w:divBdr>
        <w:top w:val="none" w:sz="0" w:space="0" w:color="auto"/>
        <w:left w:val="none" w:sz="0" w:space="0" w:color="auto"/>
        <w:bottom w:val="none" w:sz="0" w:space="0" w:color="auto"/>
        <w:right w:val="none" w:sz="0" w:space="0" w:color="auto"/>
      </w:divBdr>
    </w:div>
    <w:div w:id="1580169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07oDU0zrOYWprJV1nZdjdqDFBQ==">CgMxLjAyCGguZ2pkZ3hzMgloLjMwajB6bGw4AHIhMUYxS1d0eG55Q3U0WFZFa2txN1ItaUtIVmVlVFoyd2Ex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5</Pages>
  <Words>1973</Words>
  <Characters>10852</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Ana Correa Lopez</dc:creator>
  <cp:lastModifiedBy>Fabiana Cardozo</cp:lastModifiedBy>
  <cp:revision>28</cp:revision>
  <cp:lastPrinted>2026-05-27T14:10:00Z</cp:lastPrinted>
  <dcterms:created xsi:type="dcterms:W3CDTF">2026-01-28T11:51:00Z</dcterms:created>
  <dcterms:modified xsi:type="dcterms:W3CDTF">2026-05-27T14:14:00Z</dcterms:modified>
</cp:coreProperties>
</file>