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FB8F4" w14:textId="77777777" w:rsidR="00284DD3" w:rsidRPr="00DB5FC0" w:rsidRDefault="00284DD3" w:rsidP="00284DD3">
      <w:pPr>
        <w:spacing w:after="0" w:line="240" w:lineRule="auto"/>
        <w:jc w:val="center"/>
        <w:rPr>
          <w:rFonts w:eastAsia="MS Mincho" w:cstheme="minorHAnsi"/>
          <w:b/>
          <w:sz w:val="24"/>
          <w:szCs w:val="24"/>
          <w:lang w:val="es-PY" w:eastAsia="ja-JP"/>
        </w:rPr>
      </w:pPr>
      <w:bookmarkStart w:id="0" w:name="_Hlk152157320"/>
      <w:r w:rsidRPr="00DB5FC0">
        <w:rPr>
          <w:rFonts w:eastAsia="MS Mincho" w:cstheme="minorHAnsi"/>
          <w:b/>
          <w:sz w:val="24"/>
          <w:szCs w:val="24"/>
          <w:lang w:val="es-PY" w:eastAsia="ja-JP"/>
        </w:rPr>
        <w:t>Proyecto Primer y Segundo Informe Bienal de Transparencia y Quinta Comunicación Nacional (1BTR + 5NC &amp; 2BTR)</w:t>
      </w:r>
    </w:p>
    <w:bookmarkEnd w:id="0"/>
    <w:p w14:paraId="53075489" w14:textId="77777777" w:rsidR="00284DD3" w:rsidRPr="00DB5FC0" w:rsidRDefault="00284DD3" w:rsidP="00284DD3">
      <w:pPr>
        <w:spacing w:after="0" w:line="240" w:lineRule="auto"/>
        <w:jc w:val="both"/>
        <w:rPr>
          <w:rFonts w:eastAsia="MS Mincho" w:cstheme="minorHAnsi"/>
          <w:b/>
          <w:sz w:val="24"/>
          <w:szCs w:val="24"/>
          <w:lang w:val="es-ES_tradnl" w:eastAsia="ja-JP"/>
        </w:rPr>
      </w:pPr>
    </w:p>
    <w:p w14:paraId="5B42FB30" w14:textId="77777777" w:rsidR="00284DD3" w:rsidRPr="00DB5FC0" w:rsidRDefault="00284DD3" w:rsidP="00284DD3">
      <w:pPr>
        <w:spacing w:after="0" w:line="240" w:lineRule="auto"/>
        <w:jc w:val="center"/>
        <w:rPr>
          <w:rFonts w:eastAsia="MS Mincho" w:cstheme="minorHAnsi"/>
          <w:b/>
          <w:sz w:val="24"/>
          <w:szCs w:val="24"/>
          <w:lang w:val="es-ES_tradnl" w:eastAsia="ja-JP"/>
        </w:rPr>
      </w:pPr>
      <w:r w:rsidRPr="00DB5FC0">
        <w:rPr>
          <w:rFonts w:eastAsia="MS Mincho" w:cstheme="minorHAnsi"/>
          <w:b/>
          <w:sz w:val="24"/>
          <w:szCs w:val="24"/>
          <w:lang w:val="es-ES_tradnl" w:eastAsia="ja-JP"/>
        </w:rPr>
        <w:t>TERMINO DE REFERENCIA</w:t>
      </w:r>
    </w:p>
    <w:p w14:paraId="06D4F1B5" w14:textId="77777777" w:rsidR="00EF5770" w:rsidRPr="00DB5FC0" w:rsidRDefault="00EF5770" w:rsidP="00072420">
      <w:pPr>
        <w:spacing w:after="0" w:line="240" w:lineRule="auto"/>
        <w:jc w:val="both"/>
        <w:rPr>
          <w:rFonts w:eastAsia="MS Mincho" w:cstheme="minorHAnsi"/>
          <w:b/>
          <w:sz w:val="24"/>
          <w:szCs w:val="24"/>
          <w:lang w:val="es-ES_tradnl" w:eastAsia="ja-JP"/>
        </w:rPr>
      </w:pPr>
    </w:p>
    <w:p w14:paraId="4F744F38" w14:textId="40E480C9" w:rsidR="000E3163" w:rsidRPr="000E3163" w:rsidRDefault="000E3163" w:rsidP="00FC0A26">
      <w:pPr>
        <w:jc w:val="center"/>
        <w:rPr>
          <w:rFonts w:ascii="Calibri" w:eastAsia="Times New Roman" w:hAnsi="Calibri" w:cs="Calibri"/>
          <w:b/>
          <w:bCs/>
          <w:sz w:val="24"/>
          <w:szCs w:val="24"/>
          <w:lang w:val="es-MX" w:eastAsia="es-MX"/>
        </w:rPr>
      </w:pPr>
      <w:bookmarkStart w:id="1" w:name="_Hlk27127604"/>
      <w:r w:rsidRPr="000E3163">
        <w:rPr>
          <w:rFonts w:ascii="Calibri" w:eastAsia="Times New Roman" w:hAnsi="Calibri" w:cs="Calibri"/>
          <w:b/>
          <w:bCs/>
          <w:sz w:val="24"/>
          <w:szCs w:val="24"/>
          <w:lang w:val="es-MX" w:eastAsia="es-MX"/>
        </w:rPr>
        <w:t>“</w:t>
      </w:r>
      <w:r w:rsidR="0030428F" w:rsidRPr="008B6009">
        <w:rPr>
          <w:rFonts w:ascii="Aptos" w:hAnsi="Aptos" w:cs="Arial"/>
          <w:b/>
          <w:sz w:val="24"/>
          <w:szCs w:val="24"/>
        </w:rPr>
        <w:t>Asistente administrativo de apoyo a la Dirección de Gabinete y nexo con el proyecto</w:t>
      </w:r>
      <w:r w:rsidRPr="008B6009">
        <w:rPr>
          <w:rFonts w:ascii="Calibri" w:eastAsia="Times New Roman" w:hAnsi="Calibri" w:cs="Calibri"/>
          <w:b/>
          <w:bCs/>
          <w:sz w:val="24"/>
          <w:szCs w:val="24"/>
          <w:lang w:val="es-MX" w:eastAsia="es-MX"/>
        </w:rPr>
        <w:t>”</w:t>
      </w:r>
    </w:p>
    <w:p w14:paraId="0479FC70" w14:textId="77777777" w:rsidR="000E3163" w:rsidRPr="000E3163" w:rsidRDefault="000E3163" w:rsidP="00ED3601">
      <w:pPr>
        <w:spacing w:after="0" w:line="240" w:lineRule="auto"/>
        <w:jc w:val="center"/>
        <w:rPr>
          <w:rFonts w:eastAsia="MS Mincho" w:cstheme="minorHAnsi"/>
          <w:sz w:val="24"/>
          <w:szCs w:val="24"/>
          <w:lang w:val="es-MX" w:eastAsia="ja-JP"/>
        </w:rPr>
      </w:pPr>
    </w:p>
    <w:bookmarkEnd w:id="1"/>
    <w:p w14:paraId="3504AA25" w14:textId="77777777" w:rsidR="00EF5770" w:rsidRPr="00DB5FC0" w:rsidRDefault="00EF5770" w:rsidP="00072420">
      <w:pPr>
        <w:numPr>
          <w:ilvl w:val="0"/>
          <w:numId w:val="1"/>
        </w:numPr>
        <w:spacing w:after="0" w:line="240" w:lineRule="auto"/>
        <w:jc w:val="both"/>
        <w:rPr>
          <w:rFonts w:eastAsia="MS Mincho" w:cstheme="minorHAnsi"/>
          <w:b/>
          <w:sz w:val="24"/>
          <w:szCs w:val="24"/>
          <w:lang w:val="es-ES_tradnl" w:eastAsia="ja-JP"/>
        </w:rPr>
      </w:pPr>
      <w:r w:rsidRPr="00DB5FC0">
        <w:rPr>
          <w:rFonts w:eastAsia="MS Mincho" w:cstheme="minorHAnsi"/>
          <w:b/>
          <w:sz w:val="24"/>
          <w:szCs w:val="24"/>
          <w:lang w:val="es-ES_tradnl" w:eastAsia="ja-JP"/>
        </w:rPr>
        <w:t xml:space="preserve">Antecedentes </w:t>
      </w:r>
    </w:p>
    <w:p w14:paraId="0F00215D" w14:textId="77777777" w:rsidR="00BE013B" w:rsidRPr="00DB5FC0" w:rsidRDefault="00BE013B" w:rsidP="00072420">
      <w:pPr>
        <w:spacing w:after="0" w:line="240" w:lineRule="auto"/>
        <w:jc w:val="both"/>
        <w:rPr>
          <w:rFonts w:eastAsia="MS Mincho" w:cstheme="minorHAnsi"/>
          <w:sz w:val="24"/>
          <w:szCs w:val="24"/>
          <w:lang w:val="es-ES_tradnl" w:eastAsia="ja-JP"/>
        </w:rPr>
      </w:pPr>
    </w:p>
    <w:p w14:paraId="52129975" w14:textId="77777777" w:rsidR="00284DD3" w:rsidRPr="00DB5FC0" w:rsidRDefault="00284DD3" w:rsidP="00284DD3">
      <w:pPr>
        <w:spacing w:after="80" w:line="240" w:lineRule="auto"/>
        <w:ind w:right="27"/>
        <w:jc w:val="both"/>
        <w:rPr>
          <w:rFonts w:eastAsia="Candara"/>
          <w:sz w:val="24"/>
          <w:szCs w:val="24"/>
          <w:lang w:val="es-PY" w:eastAsia="en-IN"/>
        </w:rPr>
      </w:pPr>
      <w:r w:rsidRPr="00DB5FC0">
        <w:rPr>
          <w:rFonts w:eastAsia="Candara"/>
          <w:sz w:val="24"/>
          <w:szCs w:val="24"/>
          <w:lang w:val="es-PY" w:eastAsia="en-IN"/>
        </w:rPr>
        <w:t>La incorporación del cambio climático al derecho positivo paraguayo se formaliza con la promulgación de la Ley 251/93 que aprueba la Convención Marco de las Naciones Unidas sobre el Cambio Climático, adoptada durante la Conferencia de las Naciones Unidas sobre Medio Ambiente y Desarrollo - Cumbre de la Tierra - celebrada en la ciudad de Río de Janeiro, Brasil. Con la ratificación de la Convención a través de un instrumento jurídico, que se dio oficialmente en febrero de 1994, Paraguay asume derechos y obligaciones, en el ámbito jurídico internacional, respecto de la acción climática. En el marco del compromiso del país para cumplir con los objetivos de la Convención, en el año 2001 se implementó el Plan Nacional de Cambio Climático (PNCC) coordinado por el MADES y se iniciaron las actividades de la Comisión Nacional de Cambio Climático (CNCC).</w:t>
      </w:r>
    </w:p>
    <w:p w14:paraId="2E95F22D" w14:textId="77777777" w:rsidR="00284DD3" w:rsidRPr="00DB5FC0" w:rsidRDefault="00284DD3" w:rsidP="00284DD3">
      <w:pPr>
        <w:spacing w:after="80"/>
        <w:jc w:val="both"/>
        <w:rPr>
          <w:rFonts w:hAnsi="Times New Roman Bold"/>
          <w:color w:val="000000"/>
          <w:sz w:val="24"/>
          <w:szCs w:val="24"/>
          <w:lang w:val="es-PY"/>
        </w:rPr>
      </w:pPr>
      <w:r w:rsidRPr="00DB5FC0">
        <w:rPr>
          <w:rFonts w:hAnsi="Times New Roman Bold"/>
          <w:color w:val="000000"/>
          <w:sz w:val="24"/>
          <w:szCs w:val="24"/>
          <w:lang w:val="es-PY"/>
        </w:rPr>
        <w:t>El art</w:t>
      </w:r>
      <w:r w:rsidRPr="00DB5FC0">
        <w:rPr>
          <w:rFonts w:hAnsi="Times New Roman Bold"/>
          <w:color w:val="000000"/>
          <w:sz w:val="24"/>
          <w:szCs w:val="24"/>
          <w:lang w:val="es-PY"/>
        </w:rPr>
        <w:t>í</w:t>
      </w:r>
      <w:r w:rsidRPr="00DB5FC0">
        <w:rPr>
          <w:rFonts w:hAnsi="Times New Roman Bold"/>
          <w:color w:val="000000"/>
          <w:sz w:val="24"/>
          <w:szCs w:val="24"/>
          <w:lang w:val="es-PY"/>
        </w:rPr>
        <w:t>culo 4 de la Convenci</w:t>
      </w:r>
      <w:r w:rsidRPr="00DB5FC0">
        <w:rPr>
          <w:rFonts w:hAnsi="Times New Roman Bold"/>
          <w:color w:val="000000"/>
          <w:sz w:val="24"/>
          <w:szCs w:val="24"/>
          <w:lang w:val="es-PY"/>
        </w:rPr>
        <w:t>ó</w:t>
      </w:r>
      <w:r w:rsidRPr="00DB5FC0">
        <w:rPr>
          <w:rFonts w:hAnsi="Times New Roman Bold"/>
          <w:color w:val="000000"/>
          <w:sz w:val="24"/>
          <w:szCs w:val="24"/>
          <w:lang w:val="es-PY"/>
        </w:rPr>
        <w:t>n Marco de las Naciones Unidas sobre el Cambio Clim</w:t>
      </w:r>
      <w:r w:rsidRPr="00DB5FC0">
        <w:rPr>
          <w:rFonts w:hAnsi="Times New Roman Bold"/>
          <w:color w:val="000000"/>
          <w:sz w:val="24"/>
          <w:szCs w:val="24"/>
          <w:lang w:val="es-PY"/>
        </w:rPr>
        <w:t>á</w:t>
      </w:r>
      <w:r w:rsidRPr="00DB5FC0">
        <w:rPr>
          <w:rFonts w:hAnsi="Times New Roman Bold"/>
          <w:color w:val="000000"/>
          <w:sz w:val="24"/>
          <w:szCs w:val="24"/>
          <w:lang w:val="es-PY"/>
        </w:rPr>
        <w:t>tico establece como obligaci</w:t>
      </w:r>
      <w:r w:rsidRPr="00DB5FC0">
        <w:rPr>
          <w:rFonts w:hAnsi="Times New Roman Bold"/>
          <w:color w:val="000000"/>
          <w:sz w:val="24"/>
          <w:szCs w:val="24"/>
          <w:lang w:val="es-PY"/>
        </w:rPr>
        <w:t>ó</w:t>
      </w:r>
      <w:r w:rsidRPr="00DB5FC0">
        <w:rPr>
          <w:rFonts w:hAnsi="Times New Roman Bold"/>
          <w:color w:val="000000"/>
          <w:sz w:val="24"/>
          <w:szCs w:val="24"/>
          <w:lang w:val="es-PY"/>
        </w:rPr>
        <w:t>n para todas las Partes, teniendo en cuenta sus responsabilidades comunes pero diferenciadas, elaborar, actualizar peri</w:t>
      </w:r>
      <w:r w:rsidRPr="00DB5FC0">
        <w:rPr>
          <w:rFonts w:hAnsi="Times New Roman Bold"/>
          <w:color w:val="000000"/>
          <w:sz w:val="24"/>
          <w:szCs w:val="24"/>
          <w:lang w:val="es-PY"/>
        </w:rPr>
        <w:t>ó</w:t>
      </w:r>
      <w:r w:rsidRPr="00DB5FC0">
        <w:rPr>
          <w:rFonts w:hAnsi="Times New Roman Bold"/>
          <w:color w:val="000000"/>
          <w:sz w:val="24"/>
          <w:szCs w:val="24"/>
          <w:lang w:val="es-PY"/>
        </w:rPr>
        <w:t xml:space="preserve">dicamente, publicar y proporcionar a la Conferencia de las Partes inventarios nacionales de emisiones </w:t>
      </w:r>
      <w:proofErr w:type="spellStart"/>
      <w:r w:rsidRPr="00DB5FC0">
        <w:rPr>
          <w:rFonts w:hAnsi="Times New Roman Bold"/>
          <w:color w:val="000000"/>
          <w:sz w:val="24"/>
          <w:szCs w:val="24"/>
          <w:lang w:val="es-PY"/>
        </w:rPr>
        <w:t>antrop</w:t>
      </w:r>
      <w:r w:rsidRPr="00DB5FC0">
        <w:rPr>
          <w:rFonts w:hAnsi="Times New Roman Bold"/>
          <w:color w:val="000000"/>
          <w:sz w:val="24"/>
          <w:szCs w:val="24"/>
          <w:lang w:val="es-PY"/>
        </w:rPr>
        <w:t>ó</w:t>
      </w:r>
      <w:r w:rsidRPr="00DB5FC0">
        <w:rPr>
          <w:rFonts w:hAnsi="Times New Roman Bold"/>
          <w:color w:val="000000"/>
          <w:sz w:val="24"/>
          <w:szCs w:val="24"/>
          <w:lang w:val="es-PY"/>
        </w:rPr>
        <w:t>genas</w:t>
      </w:r>
      <w:proofErr w:type="spellEnd"/>
      <w:r w:rsidRPr="00DB5FC0">
        <w:rPr>
          <w:rFonts w:hAnsi="Times New Roman Bold"/>
          <w:color w:val="000000"/>
          <w:sz w:val="24"/>
          <w:szCs w:val="24"/>
          <w:lang w:val="es-PY"/>
        </w:rPr>
        <w:t xml:space="preserve"> por fuentes. y remociones por sumideros, de todos los gases de efecto invernadero no controlados por el Protocolo de Montreal, utilizando metodolog</w:t>
      </w:r>
      <w:r w:rsidRPr="00DB5FC0">
        <w:rPr>
          <w:rFonts w:hAnsi="Times New Roman Bold"/>
          <w:color w:val="000000"/>
          <w:sz w:val="24"/>
          <w:szCs w:val="24"/>
          <w:lang w:val="es-PY"/>
        </w:rPr>
        <w:t>í</w:t>
      </w:r>
      <w:r w:rsidRPr="00DB5FC0">
        <w:rPr>
          <w:rFonts w:hAnsi="Times New Roman Bold"/>
          <w:color w:val="000000"/>
          <w:sz w:val="24"/>
          <w:szCs w:val="24"/>
          <w:lang w:val="es-PY"/>
        </w:rPr>
        <w:t>as comparables acordadas por la Conferencia de las Partes, en donde el Paraguay debe reportar peri</w:t>
      </w:r>
      <w:r w:rsidRPr="00DB5FC0">
        <w:rPr>
          <w:rFonts w:hAnsi="Times New Roman Bold"/>
          <w:color w:val="000000"/>
          <w:sz w:val="24"/>
          <w:szCs w:val="24"/>
          <w:lang w:val="es-PY"/>
        </w:rPr>
        <w:t>ó</w:t>
      </w:r>
      <w:r w:rsidRPr="00DB5FC0">
        <w:rPr>
          <w:rFonts w:hAnsi="Times New Roman Bold"/>
          <w:color w:val="000000"/>
          <w:sz w:val="24"/>
          <w:szCs w:val="24"/>
          <w:lang w:val="es-PY"/>
        </w:rPr>
        <w:t>dicamente a la Convenci</w:t>
      </w:r>
      <w:r w:rsidRPr="00DB5FC0">
        <w:rPr>
          <w:rFonts w:hAnsi="Times New Roman Bold"/>
          <w:color w:val="000000"/>
          <w:sz w:val="24"/>
          <w:szCs w:val="24"/>
          <w:lang w:val="es-PY"/>
        </w:rPr>
        <w:t>ó</w:t>
      </w:r>
      <w:r w:rsidRPr="00DB5FC0">
        <w:rPr>
          <w:rFonts w:hAnsi="Times New Roman Bold"/>
          <w:color w:val="000000"/>
          <w:sz w:val="24"/>
          <w:szCs w:val="24"/>
          <w:lang w:val="es-PY"/>
        </w:rPr>
        <w:t>n su Inventario Nacional de Gases de Efecto Invernadero, a trav</w:t>
      </w:r>
      <w:r w:rsidRPr="00DB5FC0">
        <w:rPr>
          <w:rFonts w:hAnsi="Times New Roman Bold"/>
          <w:color w:val="000000"/>
          <w:sz w:val="24"/>
          <w:szCs w:val="24"/>
          <w:lang w:val="es-PY"/>
        </w:rPr>
        <w:t>é</w:t>
      </w:r>
      <w:r w:rsidRPr="00DB5FC0">
        <w:rPr>
          <w:rFonts w:hAnsi="Times New Roman Bold"/>
          <w:color w:val="000000"/>
          <w:sz w:val="24"/>
          <w:szCs w:val="24"/>
          <w:lang w:val="es-PY"/>
        </w:rPr>
        <w:t>s de dos mecanismos, con estructuras diferentes que fueron aprobadas en la Conferencia de las Partes: Comunicaciones Nacionales e Informes Bienales de Actualizaci</w:t>
      </w:r>
      <w:r w:rsidRPr="00DB5FC0">
        <w:rPr>
          <w:rFonts w:hAnsi="Times New Roman Bold"/>
          <w:color w:val="000000"/>
          <w:sz w:val="24"/>
          <w:szCs w:val="24"/>
          <w:lang w:val="es-PY"/>
        </w:rPr>
        <w:t>ó</w:t>
      </w:r>
      <w:r w:rsidRPr="00DB5FC0">
        <w:rPr>
          <w:rFonts w:hAnsi="Times New Roman Bold"/>
          <w:color w:val="000000"/>
          <w:sz w:val="24"/>
          <w:szCs w:val="24"/>
          <w:lang w:val="es-PY"/>
        </w:rPr>
        <w:t>n.</w:t>
      </w:r>
    </w:p>
    <w:p w14:paraId="49786590" w14:textId="77777777" w:rsidR="00284DD3" w:rsidRPr="00DB5FC0" w:rsidRDefault="00284DD3" w:rsidP="00284DD3">
      <w:pPr>
        <w:spacing w:after="80"/>
        <w:jc w:val="both"/>
        <w:rPr>
          <w:rFonts w:hAnsi="Times New Roman Bold"/>
          <w:color w:val="000000"/>
          <w:sz w:val="24"/>
          <w:szCs w:val="24"/>
          <w:lang w:val="es-PY"/>
        </w:rPr>
      </w:pPr>
      <w:r w:rsidRPr="00DB5FC0">
        <w:rPr>
          <w:rFonts w:hAnsi="Times New Roman Bold"/>
          <w:color w:val="000000"/>
          <w:sz w:val="24"/>
          <w:szCs w:val="24"/>
          <w:lang w:val="es-PY"/>
        </w:rPr>
        <w:t>Para fortalecer la respuesta global a las amenazas del cambio clim</w:t>
      </w:r>
      <w:r w:rsidRPr="00DB5FC0">
        <w:rPr>
          <w:rFonts w:hAnsi="Times New Roman Bold"/>
          <w:color w:val="000000"/>
          <w:sz w:val="24"/>
          <w:szCs w:val="24"/>
          <w:lang w:val="es-PY"/>
        </w:rPr>
        <w:t>á</w:t>
      </w:r>
      <w:r w:rsidRPr="00DB5FC0">
        <w:rPr>
          <w:rFonts w:hAnsi="Times New Roman Bold"/>
          <w:color w:val="000000"/>
          <w:sz w:val="24"/>
          <w:szCs w:val="24"/>
          <w:lang w:val="es-PY"/>
        </w:rPr>
        <w:t>tico, los pa</w:t>
      </w:r>
      <w:r w:rsidRPr="00DB5FC0">
        <w:rPr>
          <w:rFonts w:hAnsi="Times New Roman Bold"/>
          <w:color w:val="000000"/>
          <w:sz w:val="24"/>
          <w:szCs w:val="24"/>
          <w:lang w:val="es-PY"/>
        </w:rPr>
        <w:t>í</w:t>
      </w:r>
      <w:r w:rsidRPr="00DB5FC0">
        <w:rPr>
          <w:rFonts w:hAnsi="Times New Roman Bold"/>
          <w:color w:val="000000"/>
          <w:sz w:val="24"/>
          <w:szCs w:val="24"/>
          <w:lang w:val="es-PY"/>
        </w:rPr>
        <w:t>ses que adoptaron el Acuerdo de Par</w:t>
      </w:r>
      <w:r w:rsidRPr="00DB5FC0">
        <w:rPr>
          <w:rFonts w:hAnsi="Times New Roman Bold"/>
          <w:color w:val="000000"/>
          <w:sz w:val="24"/>
          <w:szCs w:val="24"/>
          <w:lang w:val="es-PY"/>
        </w:rPr>
        <w:t>í</w:t>
      </w:r>
      <w:r w:rsidRPr="00DB5FC0">
        <w:rPr>
          <w:rFonts w:hAnsi="Times New Roman Bold"/>
          <w:color w:val="000000"/>
          <w:sz w:val="24"/>
          <w:szCs w:val="24"/>
          <w:lang w:val="es-PY"/>
        </w:rPr>
        <w:t>s en 2015 adoptaron el Marco de Transparencia Reforzado. Lo anterior establece que la presentaci</w:t>
      </w:r>
      <w:r w:rsidRPr="00DB5FC0">
        <w:rPr>
          <w:rFonts w:hAnsi="Times New Roman Bold"/>
          <w:color w:val="000000"/>
          <w:sz w:val="24"/>
          <w:szCs w:val="24"/>
          <w:lang w:val="es-PY"/>
        </w:rPr>
        <w:t>ó</w:t>
      </w:r>
      <w:r w:rsidRPr="00DB5FC0">
        <w:rPr>
          <w:rFonts w:hAnsi="Times New Roman Bold"/>
          <w:color w:val="000000"/>
          <w:sz w:val="24"/>
          <w:szCs w:val="24"/>
          <w:lang w:val="es-PY"/>
        </w:rPr>
        <w:t>n del IBA bajo la Convenci</w:t>
      </w:r>
      <w:r w:rsidRPr="00DB5FC0">
        <w:rPr>
          <w:rFonts w:hAnsi="Times New Roman Bold"/>
          <w:color w:val="000000"/>
          <w:sz w:val="24"/>
          <w:szCs w:val="24"/>
          <w:lang w:val="es-PY"/>
        </w:rPr>
        <w:t>ó</w:t>
      </w:r>
      <w:r w:rsidRPr="00DB5FC0">
        <w:rPr>
          <w:rFonts w:hAnsi="Times New Roman Bold"/>
          <w:color w:val="000000"/>
          <w:sz w:val="24"/>
          <w:szCs w:val="24"/>
          <w:lang w:val="es-PY"/>
        </w:rPr>
        <w:t>n ser</w:t>
      </w:r>
      <w:r w:rsidRPr="00DB5FC0">
        <w:rPr>
          <w:rFonts w:hAnsi="Times New Roman Bold"/>
          <w:color w:val="000000"/>
          <w:sz w:val="24"/>
          <w:szCs w:val="24"/>
          <w:lang w:val="es-PY"/>
        </w:rPr>
        <w:t>á</w:t>
      </w:r>
      <w:r w:rsidRPr="00DB5FC0">
        <w:rPr>
          <w:rFonts w:hAnsi="Times New Roman Bold"/>
          <w:color w:val="000000"/>
          <w:sz w:val="24"/>
          <w:szCs w:val="24"/>
          <w:lang w:val="es-PY"/>
        </w:rPr>
        <w:t xml:space="preserve"> reemplazada por la presentaci</w:t>
      </w:r>
      <w:r w:rsidRPr="00DB5FC0">
        <w:rPr>
          <w:rFonts w:hAnsi="Times New Roman Bold"/>
          <w:color w:val="000000"/>
          <w:sz w:val="24"/>
          <w:szCs w:val="24"/>
          <w:lang w:val="es-PY"/>
        </w:rPr>
        <w:t>ó</w:t>
      </w:r>
      <w:r w:rsidRPr="00DB5FC0">
        <w:rPr>
          <w:rFonts w:hAnsi="Times New Roman Bold"/>
          <w:color w:val="000000"/>
          <w:sz w:val="24"/>
          <w:szCs w:val="24"/>
          <w:lang w:val="es-PY"/>
        </w:rPr>
        <w:t>n del Informe Bienal de Transparencia (IBT). Seg</w:t>
      </w:r>
      <w:r w:rsidRPr="00DB5FC0">
        <w:rPr>
          <w:rFonts w:hAnsi="Times New Roman Bold"/>
          <w:color w:val="000000"/>
          <w:sz w:val="24"/>
          <w:szCs w:val="24"/>
          <w:lang w:val="es-PY"/>
        </w:rPr>
        <w:t>ú</w:t>
      </w:r>
      <w:r w:rsidRPr="00DB5FC0">
        <w:rPr>
          <w:rFonts w:hAnsi="Times New Roman Bold"/>
          <w:color w:val="000000"/>
          <w:sz w:val="24"/>
          <w:szCs w:val="24"/>
          <w:lang w:val="es-PY"/>
        </w:rPr>
        <w:t>n 18/CMA. 1, p</w:t>
      </w:r>
      <w:r w:rsidRPr="00DB5FC0">
        <w:rPr>
          <w:rFonts w:hAnsi="Times New Roman Bold"/>
          <w:color w:val="000000"/>
          <w:sz w:val="24"/>
          <w:szCs w:val="24"/>
          <w:lang w:val="es-PY"/>
        </w:rPr>
        <w:t>á</w:t>
      </w:r>
      <w:r w:rsidRPr="00DB5FC0">
        <w:rPr>
          <w:rFonts w:hAnsi="Times New Roman Bold"/>
          <w:color w:val="000000"/>
          <w:sz w:val="24"/>
          <w:szCs w:val="24"/>
          <w:lang w:val="es-PY"/>
        </w:rPr>
        <w:t>rr. 3, todas las Partes deben presentar el primer IBT antes de diciembre de 2024.</w:t>
      </w:r>
    </w:p>
    <w:p w14:paraId="7F3420A9" w14:textId="5CD242A4" w:rsidR="004B7769" w:rsidRPr="002535AD" w:rsidRDefault="004B7769" w:rsidP="004B7769">
      <w:pPr>
        <w:spacing w:after="80" w:line="240" w:lineRule="auto"/>
        <w:ind w:right="27"/>
        <w:jc w:val="both"/>
        <w:rPr>
          <w:rFonts w:eastAsia="Candara"/>
          <w:sz w:val="24"/>
          <w:szCs w:val="24"/>
          <w:lang w:val="es-PY" w:eastAsia="en-IN"/>
        </w:rPr>
      </w:pPr>
      <w:bookmarkStart w:id="2" w:name="_Hlk152158346"/>
      <w:r w:rsidRPr="002535AD">
        <w:rPr>
          <w:rFonts w:eastAsia="Candara"/>
          <w:sz w:val="24"/>
          <w:szCs w:val="24"/>
          <w:lang w:val="es-PY" w:eastAsia="en-IN"/>
        </w:rPr>
        <w:t xml:space="preserve">A la fecha, Paraguay ha presentado </w:t>
      </w:r>
      <w:r>
        <w:rPr>
          <w:rFonts w:eastAsia="Candara"/>
          <w:sz w:val="24"/>
          <w:szCs w:val="24"/>
          <w:lang w:val="es-PY" w:eastAsia="en-IN"/>
        </w:rPr>
        <w:t>cuatros</w:t>
      </w:r>
      <w:r w:rsidRPr="002535AD">
        <w:rPr>
          <w:rFonts w:eastAsia="Candara"/>
          <w:sz w:val="24"/>
          <w:szCs w:val="24"/>
          <w:lang w:val="es-PY" w:eastAsia="en-IN"/>
        </w:rPr>
        <w:t xml:space="preserve"> comunicaciones nacionales a la Convención: la primera comunicación nacional en 2001, la segunda en 2011</w:t>
      </w:r>
      <w:r>
        <w:rPr>
          <w:rFonts w:eastAsia="Candara"/>
          <w:sz w:val="24"/>
          <w:szCs w:val="24"/>
          <w:lang w:val="es-PY" w:eastAsia="en-IN"/>
        </w:rPr>
        <w:t>,</w:t>
      </w:r>
      <w:r w:rsidRPr="002535AD">
        <w:rPr>
          <w:rFonts w:eastAsia="Candara"/>
          <w:sz w:val="24"/>
          <w:szCs w:val="24"/>
          <w:lang w:val="es-PY" w:eastAsia="en-IN"/>
        </w:rPr>
        <w:t xml:space="preserve"> la tercera en 2017</w:t>
      </w:r>
      <w:r>
        <w:rPr>
          <w:rFonts w:eastAsia="Candara"/>
          <w:sz w:val="24"/>
          <w:szCs w:val="24"/>
          <w:lang w:val="es-PY" w:eastAsia="en-IN"/>
        </w:rPr>
        <w:t xml:space="preserve"> y</w:t>
      </w:r>
      <w:r w:rsidRPr="002535AD">
        <w:rPr>
          <w:rFonts w:eastAsia="Candara"/>
          <w:sz w:val="24"/>
          <w:szCs w:val="24"/>
          <w:lang w:val="es-PY" w:eastAsia="en-IN"/>
        </w:rPr>
        <w:t xml:space="preserve"> </w:t>
      </w:r>
      <w:r>
        <w:rPr>
          <w:rFonts w:eastAsia="Candara"/>
          <w:sz w:val="24"/>
          <w:szCs w:val="24"/>
          <w:lang w:val="es-PY" w:eastAsia="en-IN"/>
        </w:rPr>
        <w:t xml:space="preserve">la </w:t>
      </w:r>
      <w:r w:rsidRPr="002535AD">
        <w:rPr>
          <w:rFonts w:eastAsia="Candara"/>
          <w:sz w:val="24"/>
          <w:szCs w:val="24"/>
          <w:lang w:val="es-PY" w:eastAsia="en-IN"/>
        </w:rPr>
        <w:t>Cuarta Comunicación Nacional</w:t>
      </w:r>
      <w:r>
        <w:rPr>
          <w:rFonts w:eastAsia="Candara"/>
          <w:sz w:val="24"/>
          <w:szCs w:val="24"/>
          <w:lang w:val="es-PY" w:eastAsia="en-IN"/>
        </w:rPr>
        <w:t xml:space="preserve"> en el año 2023</w:t>
      </w:r>
      <w:r w:rsidRPr="002535AD">
        <w:rPr>
          <w:rFonts w:eastAsia="Candara"/>
          <w:sz w:val="24"/>
          <w:szCs w:val="24"/>
          <w:lang w:val="es-PY" w:eastAsia="en-IN"/>
        </w:rPr>
        <w:t>, así como tres informes bienales de actualización, el primero en 2015, el segundo en 2018</w:t>
      </w:r>
      <w:r>
        <w:rPr>
          <w:rFonts w:eastAsia="Candara"/>
          <w:sz w:val="24"/>
          <w:szCs w:val="24"/>
          <w:lang w:val="es-PY" w:eastAsia="en-IN"/>
        </w:rPr>
        <w:t xml:space="preserve"> y </w:t>
      </w:r>
      <w:r w:rsidRPr="002535AD">
        <w:rPr>
          <w:rFonts w:eastAsia="Candara"/>
          <w:sz w:val="24"/>
          <w:szCs w:val="24"/>
          <w:lang w:val="es-PY" w:eastAsia="en-IN"/>
        </w:rPr>
        <w:t>el tercero en 2021.</w:t>
      </w:r>
    </w:p>
    <w:p w14:paraId="0CED9916" w14:textId="2E5D38EF" w:rsidR="00284DD3" w:rsidRPr="00DB5FC0" w:rsidRDefault="00284DD3" w:rsidP="00284DD3">
      <w:pPr>
        <w:spacing w:after="80" w:line="240" w:lineRule="auto"/>
        <w:ind w:right="27"/>
        <w:jc w:val="both"/>
        <w:rPr>
          <w:rFonts w:eastAsia="Candara"/>
          <w:sz w:val="24"/>
          <w:szCs w:val="24"/>
          <w:lang w:val="es-PY" w:eastAsia="en-IN"/>
        </w:rPr>
      </w:pPr>
      <w:r w:rsidRPr="00DB5FC0">
        <w:rPr>
          <w:sz w:val="24"/>
          <w:szCs w:val="24"/>
          <w:lang w:val="es-PY"/>
        </w:rPr>
        <w:t xml:space="preserve">Este proyecto permitirá a </w:t>
      </w:r>
      <w:r w:rsidRPr="00DB5FC0">
        <w:rPr>
          <w:rFonts w:eastAsia="Candara"/>
          <w:color w:val="000000"/>
          <w:sz w:val="24"/>
          <w:szCs w:val="24"/>
          <w:lang w:val="es-PY" w:eastAsia="en-IN"/>
        </w:rPr>
        <w:t xml:space="preserve">Paraguay a </w:t>
      </w:r>
      <w:r w:rsidRPr="00DB5FC0">
        <w:rPr>
          <w:sz w:val="24"/>
          <w:szCs w:val="24"/>
          <w:lang w:val="es-PY"/>
        </w:rPr>
        <w:t xml:space="preserve">preparar y presentar su Primer Informe Bienal de Transparencia (1BTR) como informe independiente y la Quinta Comunicación Nacional y el Segundo Informe Bienal de Transparencia (5NC/2BTR) como informe combinado, para </w:t>
      </w:r>
      <w:r w:rsidRPr="00DB5FC0">
        <w:rPr>
          <w:sz w:val="24"/>
          <w:szCs w:val="24"/>
          <w:lang w:val="es-PY"/>
        </w:rPr>
        <w:lastRenderedPageBreak/>
        <w:t>cumplir con sus obligaciones de presentación de informes en virtud de la CMNUCC y el Acuerdo de París de conformidad con las Modalidades, Procedimientos y Directrices (MPG) para el marco de transparencia para la acción y el apoyo a que se refiere el artículo 13 del Acuerdo de París (</w:t>
      </w:r>
      <w:hyperlink r:id="rId8">
        <w:r w:rsidRPr="00DB5FC0">
          <w:rPr>
            <w:rStyle w:val="Hipervnculo"/>
            <w:sz w:val="24"/>
            <w:szCs w:val="24"/>
            <w:lang w:val="es-PY"/>
          </w:rPr>
          <w:t>Decisión 18/CMA.1</w:t>
        </w:r>
      </w:hyperlink>
      <w:r w:rsidRPr="00DB5FC0">
        <w:rPr>
          <w:sz w:val="24"/>
          <w:szCs w:val="24"/>
          <w:lang w:val="es-PY"/>
        </w:rPr>
        <w:t xml:space="preserve">) y la orientación sobre la puesta en funcionamiento de los MPG según </w:t>
      </w:r>
      <w:hyperlink r:id="rId9">
        <w:r w:rsidRPr="00DB5FC0">
          <w:rPr>
            <w:rStyle w:val="Hipervnculo"/>
            <w:sz w:val="24"/>
            <w:szCs w:val="24"/>
            <w:lang w:val="es-PY"/>
          </w:rPr>
          <w:t>Decisión 5/CMA.3</w:t>
        </w:r>
      </w:hyperlink>
      <w:r w:rsidRPr="00DB5FC0">
        <w:rPr>
          <w:sz w:val="24"/>
          <w:szCs w:val="24"/>
          <w:lang w:val="es-PY"/>
        </w:rPr>
        <w:t>. El proyecto fortalecerá aún más la capacidad técnica e institucional para ayudar a Paraguay a incorporar las preocupaciones sobre el cambio climático en las prioridades de desarrollo sectoriales y nacionales y para permitir que los gobiernos a nivel de entidades y estados respondan a las obligaciones ambientales internacionales fortaleciendo y dando continuidad al desarrollo de capacidades institucionales y técnicas que ha sido iniciado y sostenido por las Comunicaciones Nacionales, los Informes Bienales de Actualización y el proyecto/proceso CBIT hasta la fecha.</w:t>
      </w:r>
    </w:p>
    <w:bookmarkEnd w:id="2"/>
    <w:p w14:paraId="121688EF" w14:textId="77777777" w:rsidR="00284DD3" w:rsidRPr="00DB5FC0" w:rsidRDefault="00284DD3" w:rsidP="00284DD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eastAsia="Times New Roman" w:cstheme="minorHAnsi"/>
          <w:sz w:val="24"/>
          <w:szCs w:val="24"/>
          <w:lang w:eastAsia="es-PY"/>
        </w:rPr>
      </w:pPr>
    </w:p>
    <w:p w14:paraId="058FFC2E" w14:textId="77777777" w:rsidR="00284DD3" w:rsidRPr="00DB5FC0" w:rsidRDefault="00284DD3" w:rsidP="00284DD3">
      <w:pPr>
        <w:numPr>
          <w:ilvl w:val="0"/>
          <w:numId w:val="1"/>
        </w:numPr>
        <w:spacing w:after="0" w:line="240" w:lineRule="auto"/>
        <w:jc w:val="both"/>
        <w:rPr>
          <w:rFonts w:eastAsia="MS Mincho" w:cstheme="minorHAnsi"/>
          <w:b/>
          <w:sz w:val="24"/>
          <w:szCs w:val="24"/>
          <w:lang w:val="es-PY" w:eastAsia="ja-JP"/>
        </w:rPr>
      </w:pPr>
      <w:r w:rsidRPr="00DB5FC0">
        <w:rPr>
          <w:rFonts w:eastAsia="MS Mincho" w:cstheme="minorHAnsi"/>
          <w:b/>
          <w:sz w:val="24"/>
          <w:szCs w:val="24"/>
          <w:lang w:val="es-PY" w:eastAsia="ja-JP"/>
        </w:rPr>
        <w:t xml:space="preserve">Objetivo del Proyecto. </w:t>
      </w:r>
    </w:p>
    <w:p w14:paraId="3AA1AF57" w14:textId="0BE5BD39" w:rsidR="00284DD3" w:rsidRPr="00DB5FC0" w:rsidRDefault="00284DD3" w:rsidP="00284DD3">
      <w:pPr>
        <w:spacing w:after="0" w:line="240" w:lineRule="auto"/>
        <w:jc w:val="both"/>
        <w:rPr>
          <w:sz w:val="24"/>
          <w:szCs w:val="24"/>
          <w:lang w:val="es-PY"/>
        </w:rPr>
      </w:pPr>
      <w:r w:rsidRPr="00DB5FC0">
        <w:rPr>
          <w:rFonts w:eastAsia="MS Mincho" w:cstheme="minorHAnsi"/>
          <w:sz w:val="24"/>
          <w:szCs w:val="24"/>
          <w:lang w:val="es-PY" w:eastAsia="ja-JP"/>
        </w:rPr>
        <w:br/>
      </w:r>
      <w:r w:rsidRPr="00DB5FC0">
        <w:rPr>
          <w:sz w:val="24"/>
          <w:szCs w:val="24"/>
          <w:lang w:val="es-PY"/>
        </w:rPr>
        <w:t xml:space="preserve">El proyecto </w:t>
      </w:r>
      <w:r w:rsidR="00030CF0">
        <w:rPr>
          <w:sz w:val="24"/>
          <w:szCs w:val="24"/>
          <w:lang w:val="es-PY"/>
        </w:rPr>
        <w:t>apoyar</w:t>
      </w:r>
      <w:r w:rsidRPr="00DB5FC0">
        <w:rPr>
          <w:sz w:val="24"/>
          <w:szCs w:val="24"/>
          <w:lang w:val="es-PY"/>
        </w:rPr>
        <w:t>á a la República del Paraguay preparar y presentar su Primer Informe Bienal de Transparencia (1BTR) como un informe independiente y la Quinta Comunicación Nacional y el Segundo Informe Bienal de Transparencia (5NC/2BTR) como un informe combinado, para cumplir con sus obligaciones de presentación de informes bajo la CMNUCC y el Acuerdo de París, en consonancia con las Modalidades, Procedimientos y Directrices (MPG) para el marco de transparencia para la acción y el apoyo mencionado en el artículo 13 del Acuerdo de París (Decisión 18/CMA.1) y las orientaciones sobre la puesta en práctica del MPG según Decisión 5/CMA.3.</w:t>
      </w:r>
    </w:p>
    <w:p w14:paraId="57CFE3EC" w14:textId="5D67ADF9" w:rsidR="00072420" w:rsidRPr="00DB5FC0" w:rsidRDefault="00072420" w:rsidP="00072420">
      <w:pPr>
        <w:spacing w:after="0" w:line="240" w:lineRule="auto"/>
        <w:jc w:val="both"/>
        <w:rPr>
          <w:rFonts w:cstheme="minorHAnsi"/>
          <w:b/>
          <w:bCs/>
          <w:sz w:val="24"/>
          <w:szCs w:val="24"/>
          <w:lang w:val="es-PY"/>
        </w:rPr>
      </w:pPr>
    </w:p>
    <w:p w14:paraId="6D8A101B" w14:textId="532307BE" w:rsidR="00072420" w:rsidRPr="00DB5FC0" w:rsidRDefault="00072420" w:rsidP="001A0556">
      <w:pPr>
        <w:pStyle w:val="Prrafodelista"/>
        <w:numPr>
          <w:ilvl w:val="0"/>
          <w:numId w:val="1"/>
        </w:numPr>
        <w:spacing w:after="0" w:line="360" w:lineRule="auto"/>
        <w:jc w:val="both"/>
        <w:rPr>
          <w:rFonts w:cstheme="minorHAnsi"/>
          <w:b/>
          <w:bCs/>
          <w:sz w:val="24"/>
          <w:szCs w:val="24"/>
          <w:lang w:val="es-PY"/>
        </w:rPr>
      </w:pPr>
      <w:r w:rsidRPr="00DB5FC0">
        <w:rPr>
          <w:rFonts w:cstheme="minorHAnsi"/>
          <w:b/>
          <w:bCs/>
          <w:sz w:val="24"/>
          <w:szCs w:val="24"/>
          <w:lang w:val="es-PY"/>
        </w:rPr>
        <w:t xml:space="preserve">Objetivo de la Consultoría </w:t>
      </w:r>
    </w:p>
    <w:p w14:paraId="08ED1726" w14:textId="77777777" w:rsidR="001A0556" w:rsidRPr="001A0556" w:rsidRDefault="001A0556" w:rsidP="001A0556">
      <w:pPr>
        <w:shd w:val="clear" w:color="auto" w:fill="FFFFFF"/>
        <w:ind w:right="49"/>
        <w:jc w:val="both"/>
        <w:rPr>
          <w:rFonts w:eastAsia="Times New Roman" w:cstheme="minorHAnsi"/>
          <w:b/>
          <w:bCs/>
          <w:color w:val="000000"/>
          <w:sz w:val="24"/>
          <w:szCs w:val="24"/>
          <w:lang w:val="es-ES_tradnl" w:eastAsia="es-PY"/>
        </w:rPr>
      </w:pPr>
      <w:r w:rsidRPr="001A0556">
        <w:rPr>
          <w:rFonts w:eastAsia="Times New Roman" w:cstheme="minorHAnsi"/>
          <w:color w:val="000000"/>
          <w:sz w:val="24"/>
          <w:szCs w:val="24"/>
          <w:lang w:val="es-ES_tradnl" w:eastAsia="es-PY"/>
        </w:rPr>
        <w:t xml:space="preserve">El objetivo de esta contratación es brindar asistencia técnica, operativa y logística en el proceso de construcción participativa </w:t>
      </w:r>
      <w:r w:rsidRPr="001A0556">
        <w:rPr>
          <w:rFonts w:cstheme="minorHAnsi"/>
          <w:sz w:val="24"/>
          <w:szCs w:val="24"/>
        </w:rPr>
        <w:t>del Informe combinado de la 5NC y 2BTR</w:t>
      </w:r>
      <w:r w:rsidRPr="001A0556">
        <w:rPr>
          <w:rFonts w:eastAsia="Times New Roman" w:cstheme="minorHAnsi"/>
          <w:color w:val="000000"/>
          <w:sz w:val="24"/>
          <w:szCs w:val="24"/>
          <w:lang w:val="es-ES_tradnl" w:eastAsia="es-PY"/>
        </w:rPr>
        <w:t xml:space="preserve">, mediante la contratación de 1 (un/una) auxiliar técnico - operativo. </w:t>
      </w:r>
    </w:p>
    <w:p w14:paraId="6F1E1C7C" w14:textId="77777777" w:rsidR="00E57F60" w:rsidRPr="00ED3601" w:rsidRDefault="00E57F60" w:rsidP="00072420">
      <w:pPr>
        <w:spacing w:after="0" w:line="240" w:lineRule="auto"/>
        <w:jc w:val="both"/>
        <w:rPr>
          <w:rFonts w:cstheme="minorHAnsi"/>
          <w:sz w:val="24"/>
          <w:szCs w:val="24"/>
          <w:lang w:val="es-ES_tradnl"/>
        </w:rPr>
      </w:pPr>
    </w:p>
    <w:p w14:paraId="6CF99ABE" w14:textId="35C57044" w:rsidR="00A54BF4" w:rsidRPr="008B6009" w:rsidRDefault="00EF5770" w:rsidP="00A54BF4">
      <w:pPr>
        <w:numPr>
          <w:ilvl w:val="0"/>
          <w:numId w:val="1"/>
        </w:numPr>
        <w:spacing w:after="0" w:line="240" w:lineRule="auto"/>
        <w:jc w:val="both"/>
        <w:rPr>
          <w:rFonts w:eastAsia="MS Mincho" w:cstheme="minorHAnsi"/>
          <w:sz w:val="24"/>
          <w:szCs w:val="24"/>
          <w:lang w:val="es-ES_tradnl" w:eastAsia="ja-JP"/>
        </w:rPr>
      </w:pPr>
      <w:r w:rsidRPr="00DB5FC0">
        <w:rPr>
          <w:rFonts w:eastAsia="MS Mincho" w:cstheme="minorHAnsi"/>
          <w:b/>
          <w:sz w:val="24"/>
          <w:szCs w:val="24"/>
          <w:lang w:val="es-ES_tradnl" w:eastAsia="ja-JP"/>
        </w:rPr>
        <w:t>Actividades</w:t>
      </w:r>
    </w:p>
    <w:p w14:paraId="7270BFC9" w14:textId="77777777" w:rsidR="008B6009" w:rsidRPr="00A54BF4" w:rsidRDefault="008B6009" w:rsidP="008B6009">
      <w:pPr>
        <w:spacing w:after="0" w:line="240" w:lineRule="auto"/>
        <w:ind w:left="360"/>
        <w:jc w:val="both"/>
        <w:rPr>
          <w:rFonts w:eastAsia="MS Mincho" w:cstheme="minorHAnsi"/>
          <w:sz w:val="24"/>
          <w:szCs w:val="24"/>
          <w:lang w:val="es-ES_tradnl" w:eastAsia="ja-JP"/>
        </w:rPr>
      </w:pPr>
    </w:p>
    <w:p w14:paraId="15DD032B" w14:textId="77777777" w:rsidR="001A0556" w:rsidRPr="001A0556" w:rsidRDefault="001A0556" w:rsidP="008B6009">
      <w:pPr>
        <w:pStyle w:val="Prrafodelista"/>
        <w:spacing w:after="0" w:line="240" w:lineRule="auto"/>
        <w:ind w:left="0"/>
        <w:jc w:val="both"/>
        <w:rPr>
          <w:rFonts w:ascii="Calibri" w:eastAsia="Times New Roman" w:hAnsi="Calibri" w:cs="Calibri"/>
          <w:sz w:val="24"/>
          <w:szCs w:val="24"/>
          <w:lang w:val="es-MX" w:eastAsia="es-MX"/>
        </w:rPr>
      </w:pPr>
      <w:bookmarkStart w:id="3" w:name="_Hlk160097634"/>
      <w:r w:rsidRPr="001A0556">
        <w:rPr>
          <w:rFonts w:ascii="Calibri" w:eastAsia="Times New Roman" w:hAnsi="Calibri" w:cs="Calibri"/>
          <w:sz w:val="24"/>
          <w:szCs w:val="24"/>
          <w:lang w:val="es-MX" w:eastAsia="es-MX"/>
        </w:rPr>
        <w:t xml:space="preserve">El/la consultor/a tendrá la responsabilidad de implementar las acciones necesarias para lograr el cumplimento de los objetivos de la presente consultoría, incluyendo -como mínimo- las siguientes: </w:t>
      </w:r>
    </w:p>
    <w:p w14:paraId="5ACF368D" w14:textId="77777777" w:rsidR="001A0556" w:rsidRPr="001A0556" w:rsidRDefault="001A0556" w:rsidP="001A0556">
      <w:pPr>
        <w:pStyle w:val="Prrafodelista"/>
        <w:spacing w:after="0" w:line="240" w:lineRule="auto"/>
        <w:ind w:left="360"/>
        <w:jc w:val="both"/>
        <w:rPr>
          <w:rFonts w:ascii="Calibri" w:eastAsia="Times New Roman" w:hAnsi="Calibri" w:cs="Calibri"/>
          <w:sz w:val="24"/>
          <w:szCs w:val="24"/>
          <w:lang w:val="es-MX" w:eastAsia="es-MX"/>
        </w:rPr>
      </w:pPr>
    </w:p>
    <w:p w14:paraId="5A6CA653" w14:textId="76FE8A9C"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 xml:space="preserve">Colaborar en la redacción de notas, memorándums y comunicaciones oficiales firmadas por el </w:t>
      </w:r>
      <w:proofErr w:type="gramStart"/>
      <w:r w:rsidRPr="001A0556">
        <w:rPr>
          <w:rFonts w:ascii="Calibri" w:eastAsia="Times New Roman" w:hAnsi="Calibri" w:cs="Calibri"/>
          <w:sz w:val="24"/>
          <w:szCs w:val="24"/>
          <w:lang w:val="es-MX" w:eastAsia="es-MX"/>
        </w:rPr>
        <w:t>Ministro</w:t>
      </w:r>
      <w:proofErr w:type="gramEnd"/>
      <w:r w:rsidRPr="001A0556">
        <w:rPr>
          <w:rFonts w:ascii="Calibri" w:eastAsia="Times New Roman" w:hAnsi="Calibri" w:cs="Calibri"/>
          <w:sz w:val="24"/>
          <w:szCs w:val="24"/>
          <w:lang w:val="es-MX" w:eastAsia="es-MX"/>
        </w:rPr>
        <w:t xml:space="preserve">, en el marco del proceso de construcción del Informe combinado de la 5NC y 2BTR. </w:t>
      </w:r>
    </w:p>
    <w:p w14:paraId="15359599" w14:textId="5E9CB375"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 xml:space="preserve">Dar seguimiento a las notas, memorándums y comunicaciones oficiales, en el marco del proceso de construcción del Informe combinado de la 5NC y 2BTR. </w:t>
      </w:r>
    </w:p>
    <w:p w14:paraId="43B8C115" w14:textId="7FE63C07"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Mantener un archivo digital actualizado de la correspondencia oficial, en el marco del proceso de construcción del Informe combinado de la 5NC y 2BTR.</w:t>
      </w:r>
    </w:p>
    <w:p w14:paraId="21D42CCE" w14:textId="45E2FE51"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 xml:space="preserve">Apoyar las actividades del Gabinete del </w:t>
      </w:r>
      <w:proofErr w:type="gramStart"/>
      <w:r w:rsidRPr="001A0556">
        <w:rPr>
          <w:rFonts w:ascii="Calibri" w:eastAsia="Times New Roman" w:hAnsi="Calibri" w:cs="Calibri"/>
          <w:sz w:val="24"/>
          <w:szCs w:val="24"/>
          <w:lang w:val="es-MX" w:eastAsia="es-MX"/>
        </w:rPr>
        <w:t>Ministro</w:t>
      </w:r>
      <w:proofErr w:type="gramEnd"/>
      <w:r w:rsidRPr="001A0556">
        <w:rPr>
          <w:rFonts w:ascii="Calibri" w:eastAsia="Times New Roman" w:hAnsi="Calibri" w:cs="Calibri"/>
          <w:sz w:val="24"/>
          <w:szCs w:val="24"/>
          <w:lang w:val="es-MX" w:eastAsia="es-MX"/>
        </w:rPr>
        <w:t xml:space="preserve"> en lo referente a la construcción del Informe combinado de la 5NC y 2BTR. </w:t>
      </w:r>
    </w:p>
    <w:p w14:paraId="63C79D12" w14:textId="358B79F5"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lastRenderedPageBreak/>
        <w:t xml:space="preserve">Apoyo en la organización, logística, y sistematización de los talleres y reuniones. </w:t>
      </w:r>
    </w:p>
    <w:p w14:paraId="7BE1AB41" w14:textId="052BC1DD"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Mantener una comunicación fluida con el equipo del Proyecto, así como con funcionarios del MADES, en lo que respecta al proceso de construcción del Informe combinado de la 5NC y 2BTR</w:t>
      </w:r>
    </w:p>
    <w:p w14:paraId="1B73D626" w14:textId="7A8B1DE2"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 xml:space="preserve">Apoyar a los funcionarios y consultores del proyecto en las actividades que sean necesarias.  </w:t>
      </w:r>
    </w:p>
    <w:p w14:paraId="45EB3B42" w14:textId="69769056"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Coordinar con el equipo de proyecto todas las gestiones que sean necesarias para lograr el cumplimiento de los productos.</w:t>
      </w:r>
    </w:p>
    <w:p w14:paraId="6C4D2971" w14:textId="2207F190" w:rsidR="001A0556" w:rsidRPr="001A0556" w:rsidRDefault="001A0556" w:rsidP="001A0556">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Mantener informado al equipo de gestión del proyecto de los avances de las actividades.</w:t>
      </w:r>
    </w:p>
    <w:p w14:paraId="6C29CC24" w14:textId="755F6A31" w:rsidR="00573707" w:rsidRPr="00F80D1E" w:rsidRDefault="001A0556" w:rsidP="003C7D1C">
      <w:pPr>
        <w:pStyle w:val="Prrafodelista"/>
        <w:numPr>
          <w:ilvl w:val="0"/>
          <w:numId w:val="11"/>
        </w:numPr>
        <w:spacing w:after="0" w:line="240" w:lineRule="auto"/>
        <w:jc w:val="both"/>
        <w:rPr>
          <w:rFonts w:ascii="Calibri" w:eastAsia="Times New Roman" w:hAnsi="Calibri" w:cs="Calibri"/>
          <w:sz w:val="24"/>
          <w:szCs w:val="24"/>
          <w:lang w:val="es-MX" w:eastAsia="es-MX"/>
        </w:rPr>
      </w:pPr>
      <w:r w:rsidRPr="001A0556">
        <w:rPr>
          <w:rFonts w:ascii="Calibri" w:eastAsia="Times New Roman" w:hAnsi="Calibri" w:cs="Calibri"/>
          <w:sz w:val="24"/>
          <w:szCs w:val="24"/>
          <w:lang w:val="es-MX" w:eastAsia="es-MX"/>
        </w:rPr>
        <w:t xml:space="preserve">Apoyo para la generación de los legajos a ser entregados al PNUD para iniciar con los procesos administrativos. </w:t>
      </w:r>
      <w:bookmarkEnd w:id="3"/>
    </w:p>
    <w:p w14:paraId="71331344" w14:textId="77777777" w:rsidR="00D326A0" w:rsidRPr="00DB5FC0" w:rsidRDefault="00D326A0" w:rsidP="00710ED4">
      <w:pPr>
        <w:pStyle w:val="Prrafodelista"/>
        <w:spacing w:after="0" w:line="240" w:lineRule="auto"/>
        <w:rPr>
          <w:rFonts w:eastAsia="MS Mincho" w:cstheme="minorHAnsi"/>
          <w:b/>
          <w:sz w:val="24"/>
          <w:szCs w:val="24"/>
          <w:lang w:eastAsia="ja-JP"/>
        </w:rPr>
      </w:pPr>
    </w:p>
    <w:p w14:paraId="6950F26B" w14:textId="34965640" w:rsidR="00E57F60" w:rsidRPr="00DB5FC0" w:rsidRDefault="00E57F60" w:rsidP="001A0556">
      <w:pPr>
        <w:pStyle w:val="Prrafodelista"/>
        <w:numPr>
          <w:ilvl w:val="0"/>
          <w:numId w:val="1"/>
        </w:numPr>
        <w:spacing w:after="0"/>
        <w:jc w:val="both"/>
        <w:rPr>
          <w:rFonts w:eastAsia="MS Mincho" w:cstheme="minorHAnsi"/>
          <w:b/>
          <w:sz w:val="24"/>
          <w:szCs w:val="24"/>
          <w:lang w:eastAsia="ja-JP"/>
        </w:rPr>
      </w:pPr>
      <w:r w:rsidRPr="00DB5FC0">
        <w:rPr>
          <w:rFonts w:eastAsia="MS Mincho" w:cstheme="minorHAnsi"/>
          <w:b/>
          <w:sz w:val="24"/>
          <w:szCs w:val="24"/>
          <w:lang w:eastAsia="ja-JP"/>
        </w:rPr>
        <w:t>PERFIL REQUERIDO</w:t>
      </w:r>
    </w:p>
    <w:p w14:paraId="3DA34960" w14:textId="6DA02388" w:rsidR="001A0556" w:rsidRPr="001A0556" w:rsidRDefault="001A0556" w:rsidP="001A0556">
      <w:pPr>
        <w:pStyle w:val="Prrafodelista"/>
        <w:numPr>
          <w:ilvl w:val="0"/>
          <w:numId w:val="11"/>
        </w:numPr>
        <w:spacing w:after="0"/>
        <w:jc w:val="both"/>
        <w:rPr>
          <w:rFonts w:cstheme="minorHAnsi"/>
          <w:sz w:val="24"/>
          <w:szCs w:val="24"/>
        </w:rPr>
      </w:pPr>
      <w:r w:rsidRPr="001A0556">
        <w:rPr>
          <w:rFonts w:cstheme="minorHAnsi"/>
          <w:sz w:val="24"/>
          <w:szCs w:val="24"/>
        </w:rPr>
        <w:t>Profesional universitario en ciencias administrativas, económicas, contables, derecho, hotelería y a fines</w:t>
      </w:r>
      <w:r w:rsidR="00F23EE0">
        <w:rPr>
          <w:rFonts w:cstheme="minorHAnsi"/>
          <w:sz w:val="24"/>
          <w:szCs w:val="24"/>
        </w:rPr>
        <w:t>. (excluyente)</w:t>
      </w:r>
    </w:p>
    <w:p w14:paraId="3C42AF5B" w14:textId="35E39F9B" w:rsidR="001A0556" w:rsidRPr="001A0556" w:rsidRDefault="001A0556" w:rsidP="001A0556">
      <w:pPr>
        <w:pStyle w:val="Prrafodelista"/>
        <w:numPr>
          <w:ilvl w:val="0"/>
          <w:numId w:val="11"/>
        </w:numPr>
        <w:spacing w:after="0"/>
        <w:jc w:val="both"/>
        <w:rPr>
          <w:rFonts w:cstheme="minorHAnsi"/>
          <w:sz w:val="24"/>
          <w:szCs w:val="24"/>
        </w:rPr>
      </w:pPr>
      <w:r w:rsidRPr="001A0556">
        <w:rPr>
          <w:rFonts w:cstheme="minorHAnsi"/>
          <w:sz w:val="24"/>
          <w:szCs w:val="24"/>
        </w:rPr>
        <w:t>Al menos 5 (cinco) años de experiencia profesional general</w:t>
      </w:r>
      <w:r>
        <w:rPr>
          <w:rFonts w:cstheme="minorHAnsi"/>
          <w:sz w:val="24"/>
          <w:szCs w:val="24"/>
        </w:rPr>
        <w:t>.</w:t>
      </w:r>
    </w:p>
    <w:p w14:paraId="654E1AD6" w14:textId="13F93C8E" w:rsidR="001A0556" w:rsidRPr="001A0556" w:rsidRDefault="001A0556" w:rsidP="001A0556">
      <w:pPr>
        <w:pStyle w:val="Prrafodelista"/>
        <w:numPr>
          <w:ilvl w:val="0"/>
          <w:numId w:val="11"/>
        </w:numPr>
        <w:spacing w:after="0"/>
        <w:jc w:val="both"/>
        <w:rPr>
          <w:rFonts w:cstheme="minorHAnsi"/>
          <w:sz w:val="24"/>
          <w:szCs w:val="24"/>
        </w:rPr>
      </w:pPr>
      <w:r w:rsidRPr="001A0556">
        <w:rPr>
          <w:rFonts w:cstheme="minorHAnsi"/>
          <w:sz w:val="24"/>
          <w:szCs w:val="24"/>
        </w:rPr>
        <w:t xml:space="preserve">Al menos 1 (una) experiencias de trabajo en temas de medio ambiente, cambio climático, biodiversidad. </w:t>
      </w:r>
    </w:p>
    <w:p w14:paraId="00686959" w14:textId="374122D0" w:rsidR="001A0556" w:rsidRPr="001A0556" w:rsidRDefault="001A0556" w:rsidP="001A0556">
      <w:pPr>
        <w:pStyle w:val="Prrafodelista"/>
        <w:numPr>
          <w:ilvl w:val="0"/>
          <w:numId w:val="11"/>
        </w:numPr>
        <w:spacing w:after="0" w:line="240" w:lineRule="auto"/>
        <w:jc w:val="both"/>
        <w:rPr>
          <w:rFonts w:cstheme="minorHAnsi"/>
          <w:sz w:val="24"/>
          <w:szCs w:val="24"/>
        </w:rPr>
      </w:pPr>
      <w:r w:rsidRPr="001A0556">
        <w:rPr>
          <w:rFonts w:cstheme="minorHAnsi"/>
          <w:sz w:val="24"/>
          <w:szCs w:val="24"/>
        </w:rPr>
        <w:t xml:space="preserve">Al menos 1 (una) experiencias de trabajo en temas relacionados a gestión documental (notas, archivos, documentación oficial, entre otros). </w:t>
      </w:r>
    </w:p>
    <w:p w14:paraId="409E3A7F" w14:textId="1CC46857" w:rsidR="001A0556" w:rsidRPr="001A0556" w:rsidRDefault="001A0556" w:rsidP="001A0556">
      <w:pPr>
        <w:pStyle w:val="Prrafodelista"/>
        <w:numPr>
          <w:ilvl w:val="0"/>
          <w:numId w:val="11"/>
        </w:numPr>
        <w:spacing w:after="0" w:line="240" w:lineRule="auto"/>
        <w:jc w:val="both"/>
        <w:rPr>
          <w:rFonts w:cstheme="minorHAnsi"/>
          <w:sz w:val="24"/>
          <w:szCs w:val="24"/>
        </w:rPr>
      </w:pPr>
      <w:r w:rsidRPr="001A0556">
        <w:rPr>
          <w:rFonts w:cstheme="minorHAnsi"/>
          <w:sz w:val="24"/>
          <w:szCs w:val="24"/>
        </w:rPr>
        <w:t>Al menos 1 (una) experiencia de trabajo con entidades de gobierno</w:t>
      </w:r>
      <w:r>
        <w:rPr>
          <w:rFonts w:cstheme="minorHAnsi"/>
          <w:sz w:val="24"/>
          <w:szCs w:val="24"/>
        </w:rPr>
        <w:t>.</w:t>
      </w:r>
      <w:r w:rsidRPr="001A0556">
        <w:rPr>
          <w:rFonts w:cstheme="minorHAnsi"/>
          <w:sz w:val="24"/>
          <w:szCs w:val="24"/>
        </w:rPr>
        <w:t xml:space="preserve"> </w:t>
      </w:r>
    </w:p>
    <w:p w14:paraId="78331253" w14:textId="6366F780" w:rsidR="009723B0" w:rsidRPr="00AC02A9" w:rsidRDefault="001A0556" w:rsidP="009723B0">
      <w:pPr>
        <w:pStyle w:val="Prrafodelista"/>
        <w:numPr>
          <w:ilvl w:val="0"/>
          <w:numId w:val="11"/>
        </w:numPr>
        <w:spacing w:after="0" w:line="240" w:lineRule="auto"/>
        <w:jc w:val="both"/>
        <w:rPr>
          <w:rFonts w:cstheme="minorHAnsi"/>
          <w:sz w:val="24"/>
          <w:szCs w:val="24"/>
        </w:rPr>
      </w:pPr>
      <w:r w:rsidRPr="001A0556">
        <w:rPr>
          <w:rFonts w:cstheme="minorHAnsi"/>
          <w:sz w:val="24"/>
          <w:szCs w:val="24"/>
        </w:rPr>
        <w:t>Al menos 1 (una) experiencia con agencias de cooperación</w:t>
      </w:r>
      <w:r>
        <w:rPr>
          <w:rFonts w:cstheme="minorHAnsi"/>
          <w:sz w:val="24"/>
          <w:szCs w:val="24"/>
        </w:rPr>
        <w:t>.</w:t>
      </w:r>
    </w:p>
    <w:p w14:paraId="3C4447D7" w14:textId="77777777" w:rsidR="009723B0" w:rsidRPr="00ED3601" w:rsidRDefault="009723B0" w:rsidP="009723B0">
      <w:pPr>
        <w:spacing w:after="0" w:line="240" w:lineRule="auto"/>
        <w:jc w:val="both"/>
        <w:rPr>
          <w:rFonts w:eastAsia="MS Mincho" w:cstheme="minorHAnsi"/>
          <w:b/>
          <w:sz w:val="24"/>
          <w:szCs w:val="24"/>
          <w:lang w:val="es-ES_tradnl" w:eastAsia="ja-JP"/>
        </w:rPr>
      </w:pPr>
    </w:p>
    <w:p w14:paraId="4B66A70F" w14:textId="77777777" w:rsidR="00973FCB" w:rsidRDefault="00810CC1" w:rsidP="00973FCB">
      <w:pPr>
        <w:pStyle w:val="Prrafodelista"/>
        <w:numPr>
          <w:ilvl w:val="0"/>
          <w:numId w:val="1"/>
        </w:numPr>
        <w:jc w:val="both"/>
        <w:rPr>
          <w:rFonts w:eastAsia="MS Mincho" w:cstheme="minorHAnsi"/>
          <w:b/>
          <w:sz w:val="24"/>
          <w:szCs w:val="24"/>
          <w:lang w:eastAsia="ja-JP"/>
        </w:rPr>
      </w:pPr>
      <w:r w:rsidRPr="00DB5FC0">
        <w:rPr>
          <w:rFonts w:eastAsia="MS Mincho" w:cstheme="minorHAnsi"/>
          <w:b/>
          <w:sz w:val="24"/>
          <w:szCs w:val="24"/>
          <w:lang w:eastAsia="ja-JP"/>
        </w:rPr>
        <w:t>FORMA DE CONTRATACIÓN Y CARÁCTER DEL CONTRATO</w:t>
      </w:r>
    </w:p>
    <w:p w14:paraId="28AFF337" w14:textId="42B17931" w:rsidR="00573707" w:rsidRPr="00F80D1E" w:rsidRDefault="001A0556" w:rsidP="00973FCB">
      <w:pPr>
        <w:jc w:val="both"/>
        <w:rPr>
          <w:rFonts w:ascii="Calibri" w:eastAsia="MS Mincho" w:hAnsi="Calibri" w:cs="Calibri"/>
          <w:sz w:val="24"/>
          <w:szCs w:val="24"/>
          <w:lang w:eastAsia="ja-JP"/>
        </w:rPr>
      </w:pPr>
      <w:bookmarkStart w:id="4" w:name="_Hlk160620792"/>
      <w:r w:rsidRPr="001A0556">
        <w:rPr>
          <w:rFonts w:ascii="Calibri" w:eastAsia="MS Mincho" w:hAnsi="Calibri" w:cs="Calibri"/>
          <w:sz w:val="24"/>
          <w:szCs w:val="24"/>
          <w:lang w:eastAsia="ja-JP"/>
        </w:rPr>
        <w:t xml:space="preserve">La modalidad de contratación es en horario a convenir entre la </w:t>
      </w:r>
      <w:r w:rsidR="00E444B3">
        <w:rPr>
          <w:rFonts w:ascii="Calibri" w:eastAsia="MS Mincho" w:hAnsi="Calibri" w:cs="Calibri"/>
          <w:sz w:val="24"/>
          <w:szCs w:val="24"/>
          <w:lang w:eastAsia="ja-JP"/>
        </w:rPr>
        <w:t>Dirección de Gabinete</w:t>
      </w:r>
      <w:r w:rsidRPr="001A0556">
        <w:rPr>
          <w:rFonts w:ascii="Calibri" w:eastAsia="MS Mincho" w:hAnsi="Calibri" w:cs="Calibri"/>
          <w:sz w:val="24"/>
          <w:szCs w:val="24"/>
          <w:lang w:eastAsia="ja-JP"/>
        </w:rPr>
        <w:t xml:space="preserve"> y el contratado y según normativas de la función pública. El contratado/a cumplirá funciones en la Dirección</w:t>
      </w:r>
      <w:r w:rsidR="00F80D1E">
        <w:rPr>
          <w:rFonts w:ascii="Calibri" w:eastAsia="MS Mincho" w:hAnsi="Calibri" w:cs="Calibri"/>
          <w:sz w:val="24"/>
          <w:szCs w:val="24"/>
          <w:lang w:eastAsia="ja-JP"/>
        </w:rPr>
        <w:t xml:space="preserve"> de Gabinete</w:t>
      </w:r>
      <w:r w:rsidRPr="001A0556">
        <w:rPr>
          <w:rFonts w:ascii="Calibri" w:eastAsia="MS Mincho" w:hAnsi="Calibri" w:cs="Calibri"/>
          <w:sz w:val="24"/>
          <w:szCs w:val="24"/>
          <w:lang w:eastAsia="ja-JP"/>
        </w:rPr>
        <w:t xml:space="preserve"> del Ministerio del Ambiente y Desarrollo Sostenible, bajo la supervisión de la coordinación del proyecto y </w:t>
      </w:r>
      <w:r>
        <w:rPr>
          <w:rFonts w:ascii="Calibri" w:eastAsia="MS Mincho" w:hAnsi="Calibri" w:cs="Calibri"/>
          <w:sz w:val="24"/>
          <w:szCs w:val="24"/>
          <w:lang w:eastAsia="ja-JP"/>
        </w:rPr>
        <w:t>la D</w:t>
      </w:r>
      <w:r w:rsidR="00E444B3">
        <w:rPr>
          <w:rFonts w:ascii="Calibri" w:eastAsia="MS Mincho" w:hAnsi="Calibri" w:cs="Calibri"/>
          <w:sz w:val="24"/>
          <w:szCs w:val="24"/>
          <w:lang w:eastAsia="ja-JP"/>
        </w:rPr>
        <w:t xml:space="preserve">irección </w:t>
      </w:r>
      <w:r>
        <w:rPr>
          <w:rFonts w:ascii="Calibri" w:eastAsia="MS Mincho" w:hAnsi="Calibri" w:cs="Calibri"/>
          <w:sz w:val="24"/>
          <w:szCs w:val="24"/>
          <w:lang w:eastAsia="ja-JP"/>
        </w:rPr>
        <w:t>N</w:t>
      </w:r>
      <w:r w:rsidR="00E444B3">
        <w:rPr>
          <w:rFonts w:ascii="Calibri" w:eastAsia="MS Mincho" w:hAnsi="Calibri" w:cs="Calibri"/>
          <w:sz w:val="24"/>
          <w:szCs w:val="24"/>
          <w:lang w:eastAsia="ja-JP"/>
        </w:rPr>
        <w:t xml:space="preserve">acional de </w:t>
      </w:r>
      <w:r>
        <w:rPr>
          <w:rFonts w:ascii="Calibri" w:eastAsia="MS Mincho" w:hAnsi="Calibri" w:cs="Calibri"/>
          <w:sz w:val="24"/>
          <w:szCs w:val="24"/>
          <w:lang w:eastAsia="ja-JP"/>
        </w:rPr>
        <w:t>C</w:t>
      </w:r>
      <w:r w:rsidR="00E444B3">
        <w:rPr>
          <w:rFonts w:ascii="Calibri" w:eastAsia="MS Mincho" w:hAnsi="Calibri" w:cs="Calibri"/>
          <w:sz w:val="24"/>
          <w:szCs w:val="24"/>
          <w:lang w:eastAsia="ja-JP"/>
        </w:rPr>
        <w:t xml:space="preserve">ambio </w:t>
      </w:r>
      <w:r>
        <w:rPr>
          <w:rFonts w:ascii="Calibri" w:eastAsia="MS Mincho" w:hAnsi="Calibri" w:cs="Calibri"/>
          <w:sz w:val="24"/>
          <w:szCs w:val="24"/>
          <w:lang w:eastAsia="ja-JP"/>
        </w:rPr>
        <w:t>C</w:t>
      </w:r>
      <w:r w:rsidR="00E444B3">
        <w:rPr>
          <w:rFonts w:ascii="Calibri" w:eastAsia="MS Mincho" w:hAnsi="Calibri" w:cs="Calibri"/>
          <w:sz w:val="24"/>
          <w:szCs w:val="24"/>
          <w:lang w:eastAsia="ja-JP"/>
        </w:rPr>
        <w:t>limático</w:t>
      </w:r>
      <w:r w:rsidRPr="001A0556">
        <w:rPr>
          <w:rFonts w:ascii="Calibri" w:eastAsia="MS Mincho" w:hAnsi="Calibri" w:cs="Calibri"/>
          <w:sz w:val="24"/>
          <w:szCs w:val="24"/>
          <w:lang w:eastAsia="ja-JP"/>
        </w:rPr>
        <w:t>.</w:t>
      </w:r>
      <w:bookmarkEnd w:id="4"/>
    </w:p>
    <w:p w14:paraId="4102F87C" w14:textId="2FE46F0B" w:rsidR="00573707" w:rsidRPr="00F80D1E" w:rsidRDefault="00810CC1" w:rsidP="00F80D1E">
      <w:pPr>
        <w:pStyle w:val="Prrafodelista"/>
        <w:numPr>
          <w:ilvl w:val="0"/>
          <w:numId w:val="1"/>
        </w:numPr>
        <w:jc w:val="both"/>
        <w:rPr>
          <w:rFonts w:eastAsia="MS Mincho" w:cstheme="minorHAnsi"/>
          <w:b/>
          <w:sz w:val="24"/>
          <w:szCs w:val="24"/>
          <w:lang w:eastAsia="ja-JP"/>
        </w:rPr>
      </w:pPr>
      <w:r w:rsidRPr="00DB5FC0">
        <w:rPr>
          <w:rFonts w:eastAsia="MS Mincho" w:cstheme="minorHAnsi"/>
          <w:b/>
          <w:sz w:val="24"/>
          <w:szCs w:val="24"/>
          <w:lang w:eastAsia="ja-JP"/>
        </w:rPr>
        <w:t>REMUNERACION Y FORMA DE PAGO</w:t>
      </w:r>
    </w:p>
    <w:p w14:paraId="2E67D168" w14:textId="6E0D1697" w:rsidR="00F80D1E" w:rsidRDefault="00F80D1E" w:rsidP="00F80D1E">
      <w:pPr>
        <w:spacing w:after="0" w:line="240" w:lineRule="auto"/>
        <w:jc w:val="both"/>
        <w:rPr>
          <w:rFonts w:eastAsia="MS Mincho" w:cstheme="minorHAnsi"/>
          <w:bCs/>
          <w:sz w:val="24"/>
          <w:szCs w:val="24"/>
          <w:lang w:val="es-PY" w:eastAsia="ja-JP"/>
        </w:rPr>
      </w:pPr>
      <w:r w:rsidRPr="00F80D1E">
        <w:rPr>
          <w:rFonts w:eastAsia="MS Mincho" w:cstheme="minorHAnsi"/>
          <w:bCs/>
          <w:sz w:val="24"/>
          <w:szCs w:val="24"/>
          <w:lang w:val="es-PY" w:eastAsia="ja-JP"/>
        </w:rPr>
        <w:t xml:space="preserve">La remuneración asignada para el cargo de </w:t>
      </w:r>
      <w:r w:rsidR="001005FF">
        <w:rPr>
          <w:rFonts w:eastAsia="MS Mincho" w:cstheme="minorHAnsi"/>
          <w:bCs/>
          <w:sz w:val="24"/>
          <w:szCs w:val="24"/>
          <w:lang w:val="es-PY" w:eastAsia="ja-JP"/>
        </w:rPr>
        <w:t xml:space="preserve">Asistente Administrativo de </w:t>
      </w:r>
      <w:r w:rsidRPr="00F80D1E">
        <w:rPr>
          <w:rFonts w:eastAsia="MS Mincho" w:cstheme="minorHAnsi"/>
          <w:bCs/>
          <w:sz w:val="24"/>
          <w:szCs w:val="24"/>
          <w:lang w:val="es-PY" w:eastAsia="ja-JP"/>
        </w:rPr>
        <w:t>apoyo a la Dirección de Gabinete</w:t>
      </w:r>
      <w:r w:rsidR="001005FF">
        <w:rPr>
          <w:rFonts w:eastAsia="MS Mincho" w:cstheme="minorHAnsi"/>
          <w:bCs/>
          <w:sz w:val="24"/>
          <w:szCs w:val="24"/>
          <w:lang w:val="es-PY" w:eastAsia="ja-JP"/>
        </w:rPr>
        <w:t xml:space="preserve"> y nexo con el proyecto</w:t>
      </w:r>
      <w:r w:rsidRPr="00F80D1E">
        <w:rPr>
          <w:rFonts w:eastAsia="MS Mincho" w:cstheme="minorHAnsi"/>
          <w:bCs/>
          <w:sz w:val="24"/>
          <w:szCs w:val="24"/>
          <w:lang w:val="es-PY" w:eastAsia="ja-JP"/>
        </w:rPr>
        <w:t>, será abonada mensualmente contra entrega de factura y aprobación de informes por parte de la Dirección de Gabinete y la Dirección Nacional de Cambio Climático.</w:t>
      </w:r>
    </w:p>
    <w:p w14:paraId="7E83FFB7" w14:textId="77777777" w:rsidR="00F80D1E" w:rsidRPr="00F80D1E" w:rsidRDefault="00F80D1E" w:rsidP="00F80D1E">
      <w:pPr>
        <w:spacing w:after="0" w:line="240" w:lineRule="auto"/>
        <w:jc w:val="both"/>
        <w:rPr>
          <w:rFonts w:eastAsia="MS Mincho" w:cstheme="minorHAnsi"/>
          <w:bCs/>
          <w:sz w:val="24"/>
          <w:szCs w:val="24"/>
          <w:lang w:val="es-PY" w:eastAsia="ja-JP"/>
        </w:rPr>
      </w:pPr>
    </w:p>
    <w:p w14:paraId="30D162C6" w14:textId="77777777" w:rsidR="00973FCB" w:rsidRDefault="00973FCB" w:rsidP="00973FCB">
      <w:pPr>
        <w:pStyle w:val="Prrafodelista"/>
        <w:numPr>
          <w:ilvl w:val="0"/>
          <w:numId w:val="1"/>
        </w:numPr>
        <w:spacing w:after="0" w:line="240" w:lineRule="auto"/>
        <w:jc w:val="both"/>
        <w:rPr>
          <w:rFonts w:cstheme="minorHAnsi"/>
          <w:b/>
          <w:bCs/>
          <w:iCs/>
          <w:sz w:val="24"/>
          <w:szCs w:val="24"/>
        </w:rPr>
      </w:pPr>
      <w:r w:rsidRPr="00767D40">
        <w:rPr>
          <w:rFonts w:cstheme="minorHAnsi"/>
          <w:b/>
          <w:bCs/>
          <w:iCs/>
          <w:sz w:val="24"/>
          <w:szCs w:val="24"/>
        </w:rPr>
        <w:t>PRODUCTOS</w:t>
      </w:r>
    </w:p>
    <w:p w14:paraId="39311243" w14:textId="77777777" w:rsidR="00E74D78" w:rsidRPr="00767D40" w:rsidRDefault="00E74D78" w:rsidP="00E74D78">
      <w:pPr>
        <w:pStyle w:val="Prrafodelista"/>
        <w:spacing w:after="0" w:line="240" w:lineRule="auto"/>
        <w:ind w:left="360"/>
        <w:jc w:val="both"/>
        <w:rPr>
          <w:rFonts w:cstheme="minorHAnsi"/>
          <w:b/>
          <w:bCs/>
          <w:iCs/>
          <w:sz w:val="24"/>
          <w:szCs w:val="24"/>
        </w:rPr>
      </w:pPr>
    </w:p>
    <w:tbl>
      <w:tblPr>
        <w:tblStyle w:val="Tablaconcuadrcula"/>
        <w:tblW w:w="8940" w:type="dxa"/>
        <w:tblLook w:val="04A0" w:firstRow="1" w:lastRow="0" w:firstColumn="1" w:lastColumn="0" w:noHBand="0" w:noVBand="1"/>
      </w:tblPr>
      <w:tblGrid>
        <w:gridCol w:w="6799"/>
        <w:gridCol w:w="2141"/>
      </w:tblGrid>
      <w:tr w:rsidR="00973FCB" w:rsidRPr="00412AA9" w14:paraId="2E9D93C9" w14:textId="77777777" w:rsidTr="00412AA9">
        <w:tc>
          <w:tcPr>
            <w:tcW w:w="6799"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BC7059E" w14:textId="77777777" w:rsidR="00973FCB" w:rsidRPr="00412AA9" w:rsidRDefault="00973FCB" w:rsidP="00B31C1F">
            <w:pPr>
              <w:autoSpaceDE w:val="0"/>
              <w:autoSpaceDN w:val="0"/>
              <w:adjustRightInd w:val="0"/>
              <w:rPr>
                <w:rFonts w:eastAsia="Times New Roman" w:cstheme="minorHAnsi"/>
                <w:b/>
                <w:sz w:val="24"/>
                <w:szCs w:val="24"/>
                <w:lang w:val="es-ES_tradnl"/>
              </w:rPr>
            </w:pPr>
            <w:r w:rsidRPr="00412AA9">
              <w:rPr>
                <w:rFonts w:eastAsia="Times New Roman" w:cstheme="minorHAnsi"/>
                <w:b/>
                <w:bCs/>
                <w:sz w:val="24"/>
                <w:szCs w:val="24"/>
                <w:lang w:val="es-ES_tradnl" w:eastAsia="en-AU"/>
              </w:rPr>
              <w:t>Resultados esperados y productos a entregar:</w:t>
            </w:r>
          </w:p>
        </w:tc>
        <w:tc>
          <w:tcPr>
            <w:tcW w:w="214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D2F675F" w14:textId="77777777" w:rsidR="00973FCB" w:rsidRPr="00412AA9" w:rsidRDefault="00973FCB" w:rsidP="00B31C1F">
            <w:pPr>
              <w:autoSpaceDE w:val="0"/>
              <w:autoSpaceDN w:val="0"/>
              <w:adjustRightInd w:val="0"/>
              <w:rPr>
                <w:rFonts w:eastAsia="Times New Roman" w:cstheme="minorHAnsi"/>
                <w:b/>
                <w:sz w:val="24"/>
                <w:szCs w:val="24"/>
                <w:lang w:val="es-ES_tradnl"/>
              </w:rPr>
            </w:pPr>
            <w:r w:rsidRPr="00412AA9">
              <w:rPr>
                <w:rFonts w:eastAsia="Times New Roman" w:cstheme="minorHAnsi"/>
                <w:b/>
                <w:bCs/>
                <w:sz w:val="24"/>
                <w:szCs w:val="24"/>
                <w:lang w:val="es-ES_tradnl" w:eastAsia="en-AU"/>
              </w:rPr>
              <w:t>Fecha de entrega</w:t>
            </w:r>
          </w:p>
        </w:tc>
      </w:tr>
      <w:tr w:rsidR="00973FCB" w:rsidRPr="00412AA9" w14:paraId="3AD5DA70" w14:textId="77777777" w:rsidTr="00412AA9">
        <w:tc>
          <w:tcPr>
            <w:tcW w:w="6799" w:type="dxa"/>
            <w:tcBorders>
              <w:top w:val="single" w:sz="4" w:space="0" w:color="auto"/>
              <w:left w:val="single" w:sz="4" w:space="0" w:color="auto"/>
              <w:bottom w:val="single" w:sz="4" w:space="0" w:color="auto"/>
              <w:right w:val="single" w:sz="4" w:space="0" w:color="auto"/>
            </w:tcBorders>
            <w:vAlign w:val="center"/>
            <w:hideMark/>
          </w:tcPr>
          <w:p w14:paraId="476D8A2F"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1. Plan de Trabajo</w:t>
            </w:r>
          </w:p>
          <w:p w14:paraId="75E46211" w14:textId="505B05B7" w:rsidR="00412AA9" w:rsidRPr="001A0556" w:rsidRDefault="001A0556" w:rsidP="001A0556">
            <w:pPr>
              <w:pStyle w:val="Prrafodelista"/>
              <w:numPr>
                <w:ilvl w:val="0"/>
                <w:numId w:val="3"/>
              </w:numPr>
              <w:jc w:val="both"/>
              <w:rPr>
                <w:rFonts w:eastAsia="Times New Roman" w:cstheme="minorHAnsi"/>
                <w:bCs/>
                <w:color w:val="000000"/>
                <w:sz w:val="24"/>
                <w:szCs w:val="24"/>
                <w:lang w:eastAsia="es-ES"/>
              </w:rPr>
            </w:pPr>
            <w:r w:rsidRPr="001A0556">
              <w:rPr>
                <w:rFonts w:eastAsia="Times New Roman" w:cstheme="minorHAnsi"/>
                <w:bCs/>
                <w:color w:val="000000"/>
                <w:sz w:val="24"/>
                <w:szCs w:val="24"/>
                <w:lang w:eastAsia="es-ES"/>
              </w:rPr>
              <w:t xml:space="preserve">Informe técnico que presente la propuesta validada del plan de trabajo para la presente consultoría, que incluya al menos: (a) </w:t>
            </w:r>
            <w:r w:rsidRPr="001A0556">
              <w:rPr>
                <w:rFonts w:eastAsia="Times New Roman" w:cstheme="minorHAnsi"/>
                <w:bCs/>
                <w:color w:val="000000"/>
                <w:sz w:val="24"/>
                <w:szCs w:val="24"/>
                <w:lang w:eastAsia="es-ES"/>
              </w:rPr>
              <w:lastRenderedPageBreak/>
              <w:t>actividades que deben implementarse, (b) recursos técnicos y equipos necesarios, (c) cronograma de implementación. Asimismo, incluir la sistematización de actividades realizadas hasta la fecha, a fines de la consultoría.</w:t>
            </w:r>
          </w:p>
        </w:tc>
        <w:tc>
          <w:tcPr>
            <w:tcW w:w="2141" w:type="dxa"/>
            <w:tcBorders>
              <w:top w:val="single" w:sz="4" w:space="0" w:color="auto"/>
              <w:left w:val="single" w:sz="4" w:space="0" w:color="auto"/>
              <w:bottom w:val="single" w:sz="4" w:space="0" w:color="auto"/>
              <w:right w:val="single" w:sz="4" w:space="0" w:color="auto"/>
            </w:tcBorders>
            <w:vAlign w:val="center"/>
            <w:hideMark/>
          </w:tcPr>
          <w:p w14:paraId="55932A20" w14:textId="4979C3F3" w:rsidR="00973FCB" w:rsidRPr="00412AA9" w:rsidRDefault="00973FCB" w:rsidP="00B31C1F">
            <w:pPr>
              <w:spacing w:line="276" w:lineRule="auto"/>
              <w:jc w:val="center"/>
              <w:rPr>
                <w:rFonts w:eastAsia="Times New Roman" w:cstheme="minorHAnsi"/>
                <w:color w:val="000000" w:themeColor="text1"/>
                <w:sz w:val="24"/>
                <w:szCs w:val="24"/>
                <w:lang w:val="es-ES_tradnl" w:eastAsia="en-AU"/>
              </w:rPr>
            </w:pPr>
            <w:r w:rsidRPr="00412AA9">
              <w:rPr>
                <w:rFonts w:eastAsia="Times New Roman" w:cstheme="minorHAnsi"/>
                <w:color w:val="000000" w:themeColor="text1"/>
                <w:sz w:val="24"/>
                <w:szCs w:val="24"/>
                <w:lang w:val="es-ES_tradnl" w:eastAsia="en-AU"/>
              </w:rPr>
              <w:lastRenderedPageBreak/>
              <w:t xml:space="preserve"> </w:t>
            </w:r>
            <w:r w:rsidR="008773C6">
              <w:rPr>
                <w:rFonts w:eastAsia="Times New Roman" w:cstheme="minorHAnsi"/>
                <w:color w:val="000000" w:themeColor="text1"/>
                <w:sz w:val="24"/>
                <w:szCs w:val="24"/>
                <w:lang w:val="es-ES_tradnl" w:eastAsia="en-AU"/>
              </w:rPr>
              <w:t xml:space="preserve">37 </w:t>
            </w:r>
            <w:r w:rsidRPr="00412AA9">
              <w:rPr>
                <w:rFonts w:eastAsia="Times New Roman" w:cstheme="minorHAnsi"/>
                <w:color w:val="000000" w:themeColor="text1"/>
                <w:sz w:val="24"/>
                <w:szCs w:val="24"/>
                <w:lang w:val="es-ES_tradnl" w:eastAsia="en-AU"/>
              </w:rPr>
              <w:t>días de la firma del contrato</w:t>
            </w:r>
          </w:p>
          <w:p w14:paraId="09C3E286" w14:textId="77777777" w:rsidR="00973FCB" w:rsidRPr="00412AA9" w:rsidRDefault="00973FCB" w:rsidP="00B31C1F">
            <w:pPr>
              <w:jc w:val="center"/>
              <w:rPr>
                <w:rFonts w:eastAsia="Times New Roman" w:cstheme="minorHAnsi"/>
                <w:color w:val="000000" w:themeColor="text1"/>
                <w:sz w:val="24"/>
                <w:szCs w:val="24"/>
                <w:lang w:val="es-ES_tradnl"/>
              </w:rPr>
            </w:pPr>
          </w:p>
        </w:tc>
      </w:tr>
      <w:tr w:rsidR="00973FCB" w:rsidRPr="00412AA9" w14:paraId="0FE74A68" w14:textId="77777777" w:rsidTr="00412AA9">
        <w:tc>
          <w:tcPr>
            <w:tcW w:w="6799" w:type="dxa"/>
            <w:tcBorders>
              <w:top w:val="single" w:sz="4" w:space="0" w:color="auto"/>
              <w:left w:val="single" w:sz="4" w:space="0" w:color="auto"/>
              <w:bottom w:val="single" w:sz="4" w:space="0" w:color="auto"/>
              <w:right w:val="single" w:sz="4" w:space="0" w:color="auto"/>
            </w:tcBorders>
            <w:vAlign w:val="center"/>
            <w:hideMark/>
          </w:tcPr>
          <w:p w14:paraId="1458394A" w14:textId="77777777" w:rsidR="001A0556" w:rsidRPr="001A0556" w:rsidRDefault="001A0556" w:rsidP="001A0556">
            <w:pPr>
              <w:jc w:val="both"/>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2. Inicio de la construcción del Informe combinado de la 5NC y 2BTR</w:t>
            </w:r>
          </w:p>
          <w:p w14:paraId="0BE54E3F" w14:textId="1D84D90D" w:rsidR="008700D0" w:rsidRPr="001A0556" w:rsidRDefault="001A0556" w:rsidP="001A0556">
            <w:pPr>
              <w:pStyle w:val="Prrafodelista"/>
              <w:numPr>
                <w:ilvl w:val="0"/>
                <w:numId w:val="2"/>
              </w:numPr>
              <w:jc w:val="both"/>
              <w:rPr>
                <w:rFonts w:eastAsia="Times New Roman" w:cstheme="minorHAnsi"/>
                <w:bCs/>
                <w:color w:val="000000"/>
                <w:sz w:val="24"/>
                <w:szCs w:val="24"/>
                <w:lang w:eastAsia="es-ES"/>
              </w:rPr>
            </w:pPr>
            <w:r w:rsidRPr="001A0556">
              <w:rPr>
                <w:rFonts w:eastAsia="Times New Roman" w:cstheme="minorHAnsi"/>
                <w:bCs/>
                <w:color w:val="000000"/>
                <w:sz w:val="24"/>
                <w:szCs w:val="24"/>
                <w:lang w:eastAsia="es-ES"/>
              </w:rPr>
              <w:t>Informe técnico que presente el apoyo técnico logístico realizado (notas, memorándums, minutas, entre otros) en el proceso de inicio de la construcción del Informe combinado de la 5NC y 2BTR de Paraguay. Asimismo, incluir la sistematización de actividades adicionales realizadas hasta la fecha, a fines de la consultoría</w:t>
            </w:r>
            <w:r>
              <w:rPr>
                <w:rFonts w:eastAsia="Times New Roman" w:cstheme="minorHAnsi"/>
                <w:bCs/>
                <w:color w:val="000000"/>
                <w:sz w:val="24"/>
                <w:szCs w:val="24"/>
                <w:lang w:eastAsia="es-ES"/>
              </w:rPr>
              <w:t>.</w:t>
            </w:r>
          </w:p>
        </w:tc>
        <w:tc>
          <w:tcPr>
            <w:tcW w:w="2141" w:type="dxa"/>
            <w:tcBorders>
              <w:top w:val="single" w:sz="4" w:space="0" w:color="auto"/>
              <w:left w:val="single" w:sz="4" w:space="0" w:color="auto"/>
              <w:bottom w:val="single" w:sz="4" w:space="0" w:color="auto"/>
              <w:right w:val="single" w:sz="4" w:space="0" w:color="auto"/>
            </w:tcBorders>
            <w:vAlign w:val="center"/>
          </w:tcPr>
          <w:p w14:paraId="76F77F9B" w14:textId="1624937D" w:rsidR="00973FCB" w:rsidRPr="00412AA9" w:rsidRDefault="00973FCB" w:rsidP="00B31C1F">
            <w:pPr>
              <w:jc w:val="center"/>
              <w:rPr>
                <w:rFonts w:eastAsia="Times New Roman" w:cstheme="minorHAnsi"/>
                <w:color w:val="000000" w:themeColor="text1"/>
                <w:sz w:val="24"/>
                <w:szCs w:val="24"/>
                <w:lang w:val="es-ES_tradnl"/>
              </w:rPr>
            </w:pPr>
            <w:r w:rsidRPr="00412AA9">
              <w:rPr>
                <w:rFonts w:eastAsia="Times New Roman" w:cstheme="minorHAnsi"/>
                <w:color w:val="000000" w:themeColor="text1"/>
                <w:sz w:val="24"/>
                <w:szCs w:val="24"/>
                <w:lang w:val="es-ES_tradnl" w:eastAsia="en-AU"/>
              </w:rPr>
              <w:t xml:space="preserve"> </w:t>
            </w:r>
            <w:r w:rsidR="008773C6">
              <w:rPr>
                <w:rFonts w:eastAsia="Times New Roman" w:cstheme="minorHAnsi"/>
                <w:color w:val="000000" w:themeColor="text1"/>
                <w:sz w:val="24"/>
                <w:szCs w:val="24"/>
                <w:lang w:val="es-ES_tradnl" w:eastAsia="en-AU"/>
              </w:rPr>
              <w:t xml:space="preserve">74 </w:t>
            </w:r>
            <w:r w:rsidRPr="00412AA9">
              <w:rPr>
                <w:rFonts w:eastAsia="Times New Roman" w:cstheme="minorHAnsi"/>
                <w:color w:val="000000" w:themeColor="text1"/>
                <w:sz w:val="24"/>
                <w:szCs w:val="24"/>
                <w:lang w:val="es-ES_tradnl" w:eastAsia="en-AU"/>
              </w:rPr>
              <w:t>días de la firma del contrato</w:t>
            </w:r>
          </w:p>
        </w:tc>
      </w:tr>
      <w:tr w:rsidR="00973FCB" w:rsidRPr="00412AA9" w14:paraId="4075355D" w14:textId="77777777" w:rsidTr="00412AA9">
        <w:tc>
          <w:tcPr>
            <w:tcW w:w="6799" w:type="dxa"/>
            <w:tcBorders>
              <w:top w:val="single" w:sz="4" w:space="0" w:color="auto"/>
              <w:left w:val="single" w:sz="4" w:space="0" w:color="auto"/>
              <w:bottom w:val="single" w:sz="4" w:space="0" w:color="auto"/>
              <w:right w:val="single" w:sz="4" w:space="0" w:color="auto"/>
            </w:tcBorders>
            <w:vAlign w:val="center"/>
            <w:hideMark/>
          </w:tcPr>
          <w:p w14:paraId="7F8AC123"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3. Seguimiento proceso de construcción</w:t>
            </w:r>
          </w:p>
          <w:p w14:paraId="33671624" w14:textId="09205BFF" w:rsidR="00973FCB" w:rsidRPr="001A0556" w:rsidRDefault="001A0556" w:rsidP="001A0556">
            <w:pPr>
              <w:pStyle w:val="Prrafodelista"/>
              <w:numPr>
                <w:ilvl w:val="0"/>
                <w:numId w:val="5"/>
              </w:numPr>
              <w:rPr>
                <w:rFonts w:eastAsia="Times New Roman" w:cstheme="minorHAnsi"/>
                <w:color w:val="000000"/>
                <w:sz w:val="24"/>
                <w:szCs w:val="24"/>
                <w:lang w:eastAsia="es-ES"/>
              </w:rPr>
            </w:pPr>
            <w:r w:rsidRPr="001A0556">
              <w:rPr>
                <w:rFonts w:eastAsia="Times New Roman" w:cstheme="minorHAnsi"/>
                <w:bCs/>
                <w:color w:val="000000"/>
                <w:sz w:val="24"/>
                <w:szCs w:val="24"/>
                <w:lang w:eastAsia="es-ES"/>
              </w:rPr>
              <w:t>Informe técnico que presente el apoyo técnico logístico realizado (notas, memorándums, minutas, entre otros) en el proceso de seguimiento al proceso de construcción con actores (reuniones con ministros, presidentes de gremios, u otras autoridades clave). Asimismo, incluir la sistematización de actividades adicionales realizadas hasta la fecha, a fines de la consultoría.</w:t>
            </w:r>
          </w:p>
        </w:tc>
        <w:tc>
          <w:tcPr>
            <w:tcW w:w="2141" w:type="dxa"/>
            <w:tcBorders>
              <w:top w:val="single" w:sz="4" w:space="0" w:color="auto"/>
              <w:left w:val="single" w:sz="4" w:space="0" w:color="auto"/>
              <w:bottom w:val="single" w:sz="4" w:space="0" w:color="auto"/>
              <w:right w:val="single" w:sz="4" w:space="0" w:color="auto"/>
            </w:tcBorders>
            <w:vAlign w:val="center"/>
          </w:tcPr>
          <w:p w14:paraId="14C932A8" w14:textId="7C315449" w:rsidR="00973FCB" w:rsidRPr="00412AA9" w:rsidRDefault="00973FCB" w:rsidP="00B31C1F">
            <w:pPr>
              <w:spacing w:line="276" w:lineRule="auto"/>
              <w:jc w:val="center"/>
              <w:rPr>
                <w:rFonts w:eastAsia="Times New Roman" w:cstheme="minorHAnsi"/>
                <w:color w:val="000000" w:themeColor="text1"/>
                <w:sz w:val="24"/>
                <w:szCs w:val="24"/>
                <w:lang w:val="es-ES_tradnl" w:eastAsia="en-AU"/>
              </w:rPr>
            </w:pPr>
            <w:r w:rsidRPr="00412AA9">
              <w:rPr>
                <w:rFonts w:eastAsia="Times New Roman" w:cstheme="minorHAnsi"/>
                <w:color w:val="000000" w:themeColor="text1"/>
                <w:sz w:val="24"/>
                <w:szCs w:val="24"/>
                <w:lang w:val="es-ES_tradnl" w:eastAsia="en-AU"/>
              </w:rPr>
              <w:t xml:space="preserve"> </w:t>
            </w:r>
            <w:r w:rsidR="008773C6">
              <w:rPr>
                <w:rFonts w:eastAsia="Times New Roman" w:cstheme="minorHAnsi"/>
                <w:color w:val="000000" w:themeColor="text1"/>
                <w:sz w:val="24"/>
                <w:szCs w:val="24"/>
                <w:lang w:val="es-ES_tradnl" w:eastAsia="en-AU"/>
              </w:rPr>
              <w:t>111</w:t>
            </w:r>
            <w:r w:rsidRPr="00412AA9">
              <w:rPr>
                <w:rFonts w:eastAsia="Times New Roman" w:cstheme="minorHAnsi"/>
                <w:color w:val="000000" w:themeColor="text1"/>
                <w:sz w:val="24"/>
                <w:szCs w:val="24"/>
                <w:lang w:val="es-ES_tradnl" w:eastAsia="en-AU"/>
              </w:rPr>
              <w:t xml:space="preserve"> días de la firma del contrato</w:t>
            </w:r>
          </w:p>
          <w:p w14:paraId="05A906C4" w14:textId="77777777" w:rsidR="00973FCB" w:rsidRPr="00412AA9" w:rsidRDefault="00973FCB" w:rsidP="00B31C1F">
            <w:pPr>
              <w:jc w:val="center"/>
              <w:rPr>
                <w:rFonts w:eastAsia="Times New Roman" w:cstheme="minorHAnsi"/>
                <w:color w:val="000000" w:themeColor="text1"/>
                <w:sz w:val="24"/>
                <w:szCs w:val="24"/>
                <w:lang w:val="es-ES_tradnl"/>
              </w:rPr>
            </w:pPr>
          </w:p>
        </w:tc>
      </w:tr>
      <w:tr w:rsidR="00973FCB" w:rsidRPr="00412AA9" w14:paraId="26DA3C46" w14:textId="77777777" w:rsidTr="00412AA9">
        <w:tc>
          <w:tcPr>
            <w:tcW w:w="6799" w:type="dxa"/>
            <w:tcBorders>
              <w:top w:val="single" w:sz="4" w:space="0" w:color="auto"/>
              <w:left w:val="single" w:sz="4" w:space="0" w:color="auto"/>
              <w:bottom w:val="single" w:sz="4" w:space="0" w:color="auto"/>
              <w:right w:val="single" w:sz="4" w:space="0" w:color="auto"/>
            </w:tcBorders>
            <w:vAlign w:val="center"/>
            <w:hideMark/>
          </w:tcPr>
          <w:p w14:paraId="26E4FB84"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4.  Avances Plan de Trabajo</w:t>
            </w:r>
          </w:p>
          <w:p w14:paraId="6B950251" w14:textId="3991B6F1" w:rsidR="00973FCB" w:rsidRPr="001A0556" w:rsidRDefault="001A0556" w:rsidP="001A0556">
            <w:pPr>
              <w:pStyle w:val="Prrafodelista"/>
              <w:numPr>
                <w:ilvl w:val="0"/>
                <w:numId w:val="5"/>
              </w:numPr>
              <w:rPr>
                <w:rFonts w:eastAsia="Times New Roman" w:cstheme="minorHAnsi"/>
                <w:sz w:val="24"/>
                <w:szCs w:val="24"/>
                <w:lang w:val="es-ES_tradnl"/>
              </w:rPr>
            </w:pPr>
            <w:r w:rsidRPr="001A0556">
              <w:rPr>
                <w:rFonts w:eastAsia="Times New Roman" w:cstheme="minorHAnsi"/>
                <w:bCs/>
                <w:color w:val="000000"/>
                <w:sz w:val="24"/>
                <w:szCs w:val="24"/>
                <w:lang w:eastAsia="es-ES"/>
              </w:rPr>
              <w:t>Informe técnico que presente los principales avances tomando como base el Plan de trabajo aprobado en el Producto 1, con los medios de verificación asociados. Asimismo, incluir la sistematización de actividades adicionales realizadas hasta la fecha, a fines de la consultoría.</w:t>
            </w:r>
          </w:p>
        </w:tc>
        <w:tc>
          <w:tcPr>
            <w:tcW w:w="2141" w:type="dxa"/>
            <w:tcBorders>
              <w:top w:val="single" w:sz="4" w:space="0" w:color="auto"/>
              <w:left w:val="single" w:sz="4" w:space="0" w:color="auto"/>
              <w:bottom w:val="single" w:sz="4" w:space="0" w:color="auto"/>
              <w:right w:val="single" w:sz="4" w:space="0" w:color="auto"/>
            </w:tcBorders>
            <w:vAlign w:val="center"/>
            <w:hideMark/>
          </w:tcPr>
          <w:p w14:paraId="4E86DD07" w14:textId="0EA2B805" w:rsidR="00973FCB" w:rsidRPr="00412AA9" w:rsidRDefault="008773C6" w:rsidP="00B31C1F">
            <w:pPr>
              <w:jc w:val="center"/>
              <w:rPr>
                <w:rFonts w:eastAsia="Times New Roman" w:cstheme="minorHAnsi"/>
                <w:color w:val="000000" w:themeColor="text1"/>
                <w:sz w:val="24"/>
                <w:szCs w:val="24"/>
                <w:lang w:val="es-ES_tradnl"/>
              </w:rPr>
            </w:pPr>
            <w:r>
              <w:rPr>
                <w:rFonts w:eastAsia="Times New Roman" w:cstheme="minorHAnsi"/>
                <w:color w:val="000000" w:themeColor="text1"/>
                <w:sz w:val="24"/>
                <w:szCs w:val="24"/>
                <w:lang w:val="es-ES_tradnl" w:eastAsia="en-AU"/>
              </w:rPr>
              <w:t>148</w:t>
            </w:r>
            <w:r w:rsidR="00973FCB" w:rsidRPr="00412AA9">
              <w:rPr>
                <w:rFonts w:eastAsia="Times New Roman" w:cstheme="minorHAnsi"/>
                <w:color w:val="000000" w:themeColor="text1"/>
                <w:sz w:val="24"/>
                <w:szCs w:val="24"/>
                <w:lang w:val="es-ES_tradnl" w:eastAsia="en-AU"/>
              </w:rPr>
              <w:t xml:space="preserve"> días de la firma del contrato</w:t>
            </w:r>
          </w:p>
        </w:tc>
      </w:tr>
      <w:tr w:rsidR="00973FCB" w:rsidRPr="00412AA9" w14:paraId="2AB9A649" w14:textId="77777777" w:rsidTr="00412AA9">
        <w:tc>
          <w:tcPr>
            <w:tcW w:w="6799" w:type="dxa"/>
            <w:tcBorders>
              <w:top w:val="single" w:sz="4" w:space="0" w:color="auto"/>
              <w:left w:val="single" w:sz="4" w:space="0" w:color="auto"/>
              <w:bottom w:val="single" w:sz="4" w:space="0" w:color="auto"/>
              <w:right w:val="single" w:sz="4" w:space="0" w:color="auto"/>
            </w:tcBorders>
            <w:vAlign w:val="center"/>
          </w:tcPr>
          <w:p w14:paraId="41EB9265"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5. Apoyo - Borrador del Informe combinado de la 5NC y 2BTR</w:t>
            </w:r>
          </w:p>
          <w:p w14:paraId="257C6362" w14:textId="055C075C" w:rsidR="00973FCB" w:rsidRPr="001A0556" w:rsidRDefault="001A0556" w:rsidP="001A0556">
            <w:pPr>
              <w:pStyle w:val="Prrafodelista"/>
              <w:numPr>
                <w:ilvl w:val="0"/>
                <w:numId w:val="5"/>
              </w:numPr>
              <w:rPr>
                <w:rFonts w:eastAsia="Times New Roman" w:cstheme="minorHAnsi"/>
                <w:bCs/>
                <w:sz w:val="24"/>
                <w:szCs w:val="24"/>
                <w:lang w:val="es-ES_tradnl" w:eastAsia="en-AU"/>
              </w:rPr>
            </w:pPr>
            <w:r w:rsidRPr="001A0556">
              <w:rPr>
                <w:rFonts w:eastAsia="Times New Roman" w:cstheme="minorHAnsi"/>
                <w:bCs/>
                <w:color w:val="000000"/>
                <w:sz w:val="24"/>
                <w:szCs w:val="24"/>
                <w:lang w:eastAsia="es-ES"/>
              </w:rPr>
              <w:t>Informe técnico que presente el apoyo técnico logístico realizado (notas, memorándums, minutas, entre otros) en el proceso de remisión oficial del primer borrador del Informe combinado de la 5NC y 2BTR, para iniciar el proceso de revisión/ajustes. Asimismo, incluir la sistematización de actividades adicionales realizadas hasta la fecha, a fines de la consultoría.</w:t>
            </w:r>
          </w:p>
        </w:tc>
        <w:tc>
          <w:tcPr>
            <w:tcW w:w="2141" w:type="dxa"/>
            <w:tcBorders>
              <w:top w:val="single" w:sz="4" w:space="0" w:color="auto"/>
              <w:left w:val="single" w:sz="4" w:space="0" w:color="auto"/>
              <w:bottom w:val="single" w:sz="4" w:space="0" w:color="auto"/>
              <w:right w:val="single" w:sz="4" w:space="0" w:color="auto"/>
            </w:tcBorders>
            <w:vAlign w:val="center"/>
          </w:tcPr>
          <w:p w14:paraId="2FFD7D38" w14:textId="5FB97494" w:rsidR="00973FCB" w:rsidRPr="00412AA9" w:rsidRDefault="00973FCB" w:rsidP="00B31C1F">
            <w:pPr>
              <w:jc w:val="center"/>
              <w:rPr>
                <w:rFonts w:eastAsia="Times New Roman" w:cstheme="minorHAnsi"/>
                <w:color w:val="000000" w:themeColor="text1"/>
                <w:sz w:val="24"/>
                <w:szCs w:val="24"/>
                <w:lang w:val="es-ES_tradnl" w:eastAsia="en-AU"/>
              </w:rPr>
            </w:pPr>
            <w:r w:rsidRPr="00412AA9">
              <w:rPr>
                <w:rFonts w:eastAsia="Times New Roman" w:cstheme="minorHAnsi"/>
                <w:color w:val="000000" w:themeColor="text1"/>
                <w:sz w:val="24"/>
                <w:szCs w:val="24"/>
                <w:lang w:val="es-ES_tradnl" w:eastAsia="en-AU"/>
              </w:rPr>
              <w:t xml:space="preserve"> </w:t>
            </w:r>
            <w:r w:rsidR="008773C6">
              <w:rPr>
                <w:rFonts w:eastAsia="Times New Roman" w:cstheme="minorHAnsi"/>
                <w:color w:val="000000" w:themeColor="text1"/>
                <w:sz w:val="24"/>
                <w:szCs w:val="24"/>
                <w:lang w:val="es-ES_tradnl" w:eastAsia="en-AU"/>
              </w:rPr>
              <w:t xml:space="preserve">185 </w:t>
            </w:r>
            <w:r w:rsidRPr="00412AA9">
              <w:rPr>
                <w:rFonts w:eastAsia="Times New Roman" w:cstheme="minorHAnsi"/>
                <w:color w:val="000000" w:themeColor="text1"/>
                <w:sz w:val="24"/>
                <w:szCs w:val="24"/>
                <w:lang w:val="es-ES_tradnl" w:eastAsia="en-AU"/>
              </w:rPr>
              <w:t>días de la firma del contrato</w:t>
            </w:r>
          </w:p>
        </w:tc>
      </w:tr>
      <w:tr w:rsidR="00973FCB" w:rsidRPr="00767D40" w14:paraId="3F864A42" w14:textId="77777777" w:rsidTr="00412AA9">
        <w:tc>
          <w:tcPr>
            <w:tcW w:w="6799" w:type="dxa"/>
            <w:tcBorders>
              <w:top w:val="single" w:sz="4" w:space="0" w:color="auto"/>
              <w:left w:val="single" w:sz="4" w:space="0" w:color="auto"/>
              <w:bottom w:val="single" w:sz="4" w:space="0" w:color="auto"/>
              <w:right w:val="single" w:sz="4" w:space="0" w:color="auto"/>
            </w:tcBorders>
            <w:vAlign w:val="center"/>
          </w:tcPr>
          <w:p w14:paraId="0811F1B1"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6.  Apoyo - Validación del Informe combinado de la 5NC y 2BTR</w:t>
            </w:r>
          </w:p>
          <w:p w14:paraId="6E291CA3" w14:textId="3371CC79" w:rsidR="00973FCB" w:rsidRPr="001A0556" w:rsidRDefault="001A0556" w:rsidP="001A0556">
            <w:pPr>
              <w:pStyle w:val="Prrafodelista"/>
              <w:numPr>
                <w:ilvl w:val="0"/>
                <w:numId w:val="5"/>
              </w:numPr>
              <w:jc w:val="both"/>
              <w:rPr>
                <w:rFonts w:eastAsia="Times New Roman" w:cstheme="minorHAnsi"/>
                <w:bCs/>
                <w:sz w:val="24"/>
                <w:szCs w:val="24"/>
                <w:lang w:val="es-ES_tradnl" w:eastAsia="en-AU"/>
              </w:rPr>
            </w:pPr>
            <w:r w:rsidRPr="001A0556">
              <w:rPr>
                <w:rFonts w:eastAsia="Times New Roman" w:cstheme="minorHAnsi"/>
                <w:bCs/>
                <w:color w:val="000000"/>
                <w:sz w:val="24"/>
                <w:szCs w:val="24"/>
                <w:lang w:eastAsia="es-ES"/>
              </w:rPr>
              <w:t>Informe técnico que presente el apoyo técnico logístico realizado (notas, memorándums, minutas, entre otros) en el proceso de validación con actores de la versión ajustada del Informe combinado de la 5NC y 2BTR. Asimismo, incluir la sistematización de actividades adicionales realizadas hasta la fecha, a fines de la consultoría.</w:t>
            </w:r>
          </w:p>
        </w:tc>
        <w:tc>
          <w:tcPr>
            <w:tcW w:w="2141" w:type="dxa"/>
            <w:tcBorders>
              <w:top w:val="single" w:sz="4" w:space="0" w:color="auto"/>
              <w:left w:val="single" w:sz="4" w:space="0" w:color="auto"/>
              <w:bottom w:val="single" w:sz="4" w:space="0" w:color="auto"/>
              <w:right w:val="single" w:sz="4" w:space="0" w:color="auto"/>
            </w:tcBorders>
            <w:vAlign w:val="center"/>
          </w:tcPr>
          <w:p w14:paraId="3A3C89FC" w14:textId="2946DE55" w:rsidR="00973FCB" w:rsidRPr="00412AA9" w:rsidRDefault="00973FCB" w:rsidP="00B31C1F">
            <w:pPr>
              <w:rPr>
                <w:rFonts w:eastAsia="Times New Roman" w:cstheme="minorHAnsi"/>
                <w:color w:val="000000" w:themeColor="text1"/>
                <w:sz w:val="24"/>
                <w:szCs w:val="24"/>
                <w:lang w:val="es-ES_tradnl" w:eastAsia="en-AU"/>
              </w:rPr>
            </w:pPr>
            <w:r w:rsidRPr="00412AA9">
              <w:rPr>
                <w:rFonts w:eastAsia="Times New Roman" w:cstheme="minorHAnsi"/>
                <w:color w:val="000000" w:themeColor="text1"/>
                <w:sz w:val="24"/>
                <w:szCs w:val="24"/>
                <w:lang w:val="es-ES_tradnl" w:eastAsia="en-AU"/>
              </w:rPr>
              <w:t xml:space="preserve">  </w:t>
            </w:r>
            <w:r w:rsidR="008773C6">
              <w:rPr>
                <w:rFonts w:eastAsia="Times New Roman" w:cstheme="minorHAnsi"/>
                <w:color w:val="000000" w:themeColor="text1"/>
                <w:sz w:val="24"/>
                <w:szCs w:val="24"/>
                <w:lang w:val="es-ES_tradnl" w:eastAsia="en-AU"/>
              </w:rPr>
              <w:t xml:space="preserve">222 </w:t>
            </w:r>
            <w:r w:rsidRPr="00412AA9">
              <w:rPr>
                <w:rFonts w:eastAsia="Times New Roman" w:cstheme="minorHAnsi"/>
                <w:color w:val="000000" w:themeColor="text1"/>
                <w:sz w:val="24"/>
                <w:szCs w:val="24"/>
                <w:lang w:val="es-ES_tradnl" w:eastAsia="en-AU"/>
              </w:rPr>
              <w:t>días de la firma del contrato</w:t>
            </w:r>
          </w:p>
        </w:tc>
      </w:tr>
      <w:tr w:rsidR="00CC0FD8" w:rsidRPr="00767D40" w14:paraId="0CCE465C" w14:textId="77777777" w:rsidTr="00412AA9">
        <w:tc>
          <w:tcPr>
            <w:tcW w:w="6799" w:type="dxa"/>
            <w:tcBorders>
              <w:top w:val="single" w:sz="4" w:space="0" w:color="auto"/>
              <w:left w:val="single" w:sz="4" w:space="0" w:color="auto"/>
              <w:bottom w:val="single" w:sz="4" w:space="0" w:color="auto"/>
              <w:right w:val="single" w:sz="4" w:space="0" w:color="auto"/>
            </w:tcBorders>
            <w:vAlign w:val="center"/>
          </w:tcPr>
          <w:p w14:paraId="10F02D73"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lastRenderedPageBreak/>
              <w:t>Producto 7. Apoyo - Remisión del Informe combinado de la 5NC y 2BTR</w:t>
            </w:r>
          </w:p>
          <w:p w14:paraId="2783AF55" w14:textId="21D63D1D" w:rsidR="00CC0FD8" w:rsidRPr="001A0556" w:rsidRDefault="001A0556" w:rsidP="001A0556">
            <w:pPr>
              <w:pStyle w:val="Prrafodelista"/>
              <w:numPr>
                <w:ilvl w:val="0"/>
                <w:numId w:val="5"/>
              </w:numPr>
              <w:rPr>
                <w:rFonts w:eastAsia="Times New Roman" w:cstheme="minorHAnsi"/>
                <w:bCs/>
                <w:color w:val="000000"/>
                <w:sz w:val="24"/>
                <w:szCs w:val="24"/>
                <w:lang w:eastAsia="es-ES"/>
              </w:rPr>
            </w:pPr>
            <w:r w:rsidRPr="001A0556">
              <w:rPr>
                <w:rFonts w:eastAsia="Times New Roman" w:cstheme="minorHAnsi"/>
                <w:bCs/>
                <w:color w:val="000000"/>
                <w:sz w:val="24"/>
                <w:szCs w:val="24"/>
                <w:lang w:eastAsia="es-ES"/>
              </w:rPr>
              <w:t xml:space="preserve">Informe técnico que presente el apoyo técnico logístico realizado (notas, memorándums, minutas, entre otros) en el proceso de remisión oficial del documento oficial del Informe combinado de la 5NC y 2BTR a la CMNUCC (notas/reuniones con Cancillería). Asimismo, incluir la sistematización de actividades adicionales realizadas hasta la fecha, a fines de la consultoría. </w:t>
            </w:r>
          </w:p>
        </w:tc>
        <w:tc>
          <w:tcPr>
            <w:tcW w:w="2141" w:type="dxa"/>
            <w:tcBorders>
              <w:top w:val="single" w:sz="4" w:space="0" w:color="auto"/>
              <w:left w:val="single" w:sz="4" w:space="0" w:color="auto"/>
              <w:bottom w:val="single" w:sz="4" w:space="0" w:color="auto"/>
              <w:right w:val="single" w:sz="4" w:space="0" w:color="auto"/>
            </w:tcBorders>
            <w:vAlign w:val="center"/>
          </w:tcPr>
          <w:p w14:paraId="01EA1903" w14:textId="4DA98E74" w:rsidR="00CC0FD8" w:rsidRPr="00412AA9" w:rsidRDefault="008773C6" w:rsidP="00B31C1F">
            <w:pPr>
              <w:rPr>
                <w:rFonts w:eastAsia="Times New Roman" w:cstheme="minorHAnsi"/>
                <w:color w:val="000000" w:themeColor="text1"/>
                <w:sz w:val="24"/>
                <w:szCs w:val="24"/>
                <w:lang w:val="es-ES_tradnl" w:eastAsia="en-AU"/>
              </w:rPr>
            </w:pPr>
            <w:r>
              <w:rPr>
                <w:rFonts w:eastAsia="Times New Roman" w:cstheme="minorHAnsi"/>
                <w:color w:val="000000" w:themeColor="text1"/>
                <w:sz w:val="24"/>
                <w:szCs w:val="24"/>
                <w:lang w:val="es-ES_tradnl" w:eastAsia="en-AU"/>
              </w:rPr>
              <w:t xml:space="preserve">259 </w:t>
            </w:r>
            <w:r w:rsidRPr="00AC02A9">
              <w:rPr>
                <w:rFonts w:eastAsia="Times New Roman" w:cstheme="minorHAnsi"/>
                <w:color w:val="000000" w:themeColor="text1"/>
                <w:sz w:val="24"/>
                <w:szCs w:val="24"/>
                <w:lang w:val="es-ES_tradnl" w:eastAsia="en-AU"/>
              </w:rPr>
              <w:t>días de la firma del contrato</w:t>
            </w:r>
          </w:p>
        </w:tc>
      </w:tr>
      <w:tr w:rsidR="00CC0FD8" w:rsidRPr="00767D40" w14:paraId="5D6F869E" w14:textId="77777777" w:rsidTr="00412AA9">
        <w:tc>
          <w:tcPr>
            <w:tcW w:w="6799" w:type="dxa"/>
            <w:tcBorders>
              <w:top w:val="single" w:sz="4" w:space="0" w:color="auto"/>
              <w:left w:val="single" w:sz="4" w:space="0" w:color="auto"/>
              <w:bottom w:val="single" w:sz="4" w:space="0" w:color="auto"/>
              <w:right w:val="single" w:sz="4" w:space="0" w:color="auto"/>
            </w:tcBorders>
            <w:vAlign w:val="center"/>
          </w:tcPr>
          <w:p w14:paraId="6CEFAAA0" w14:textId="77777777" w:rsidR="001A0556" w:rsidRPr="001A0556" w:rsidRDefault="001A0556" w:rsidP="001A0556">
            <w:pPr>
              <w:rPr>
                <w:rFonts w:eastAsia="Times New Roman" w:cstheme="minorHAnsi"/>
                <w:b/>
                <w:bCs/>
                <w:color w:val="000000"/>
                <w:sz w:val="24"/>
                <w:szCs w:val="24"/>
                <w:lang w:eastAsia="es-ES"/>
              </w:rPr>
            </w:pPr>
            <w:r w:rsidRPr="001A0556">
              <w:rPr>
                <w:rFonts w:eastAsia="Times New Roman" w:cstheme="minorHAnsi"/>
                <w:b/>
                <w:bCs/>
                <w:color w:val="000000"/>
                <w:sz w:val="24"/>
                <w:szCs w:val="24"/>
                <w:lang w:eastAsia="es-ES"/>
              </w:rPr>
              <w:t>Producto 8. Informe final</w:t>
            </w:r>
          </w:p>
          <w:p w14:paraId="4FF17B62" w14:textId="4171C060" w:rsidR="00CC0FD8" w:rsidRPr="001A0556" w:rsidRDefault="001A0556" w:rsidP="001A0556">
            <w:pPr>
              <w:pStyle w:val="Prrafodelista"/>
              <w:numPr>
                <w:ilvl w:val="0"/>
                <w:numId w:val="5"/>
              </w:numPr>
              <w:rPr>
                <w:lang w:val="es-PY"/>
              </w:rPr>
            </w:pPr>
            <w:r w:rsidRPr="001A0556">
              <w:rPr>
                <w:rFonts w:eastAsia="Times New Roman" w:cstheme="minorHAnsi"/>
                <w:bCs/>
                <w:color w:val="000000"/>
                <w:sz w:val="24"/>
                <w:szCs w:val="24"/>
                <w:lang w:eastAsia="es-ES"/>
              </w:rPr>
              <w:t>Informe que recopile y analice los principales resultados, hallazgos y aportes generados en el ámbito de la presente consultoría, sistematizando todos los medios de verificación asociados</w:t>
            </w:r>
          </w:p>
        </w:tc>
        <w:tc>
          <w:tcPr>
            <w:tcW w:w="2141" w:type="dxa"/>
            <w:tcBorders>
              <w:top w:val="single" w:sz="4" w:space="0" w:color="auto"/>
              <w:left w:val="single" w:sz="4" w:space="0" w:color="auto"/>
              <w:bottom w:val="single" w:sz="4" w:space="0" w:color="auto"/>
              <w:right w:val="single" w:sz="4" w:space="0" w:color="auto"/>
            </w:tcBorders>
            <w:vAlign w:val="center"/>
          </w:tcPr>
          <w:p w14:paraId="7E1742ED" w14:textId="75FA69F2" w:rsidR="00CC0FD8" w:rsidRPr="00412AA9" w:rsidRDefault="00AC02A9" w:rsidP="00B31C1F">
            <w:pPr>
              <w:rPr>
                <w:rFonts w:eastAsia="Times New Roman" w:cstheme="minorHAnsi"/>
                <w:color w:val="000000" w:themeColor="text1"/>
                <w:sz w:val="24"/>
                <w:szCs w:val="24"/>
                <w:lang w:val="es-ES_tradnl" w:eastAsia="en-AU"/>
              </w:rPr>
            </w:pPr>
            <w:r w:rsidRPr="00AC02A9">
              <w:rPr>
                <w:rFonts w:eastAsia="Times New Roman" w:cstheme="minorHAnsi"/>
                <w:color w:val="000000" w:themeColor="text1"/>
                <w:sz w:val="24"/>
                <w:szCs w:val="24"/>
                <w:lang w:val="es-ES_tradnl" w:eastAsia="en-AU"/>
              </w:rPr>
              <w:t xml:space="preserve">  </w:t>
            </w:r>
            <w:r w:rsidR="008773C6">
              <w:rPr>
                <w:rFonts w:eastAsia="Times New Roman" w:cstheme="minorHAnsi"/>
                <w:color w:val="000000" w:themeColor="text1"/>
                <w:sz w:val="24"/>
                <w:szCs w:val="24"/>
                <w:lang w:val="es-ES_tradnl" w:eastAsia="en-AU"/>
              </w:rPr>
              <w:t xml:space="preserve">296 </w:t>
            </w:r>
            <w:r w:rsidRPr="00AC02A9">
              <w:rPr>
                <w:rFonts w:eastAsia="Times New Roman" w:cstheme="minorHAnsi"/>
                <w:color w:val="000000" w:themeColor="text1"/>
                <w:sz w:val="24"/>
                <w:szCs w:val="24"/>
                <w:lang w:val="es-ES_tradnl" w:eastAsia="en-AU"/>
              </w:rPr>
              <w:t>días de la firma del contrato</w:t>
            </w:r>
          </w:p>
        </w:tc>
      </w:tr>
    </w:tbl>
    <w:p w14:paraId="6C39E8F4" w14:textId="77777777" w:rsidR="00413A99" w:rsidRPr="00810CC1" w:rsidRDefault="00413A99" w:rsidP="00810CC1">
      <w:pPr>
        <w:jc w:val="both"/>
        <w:rPr>
          <w:rFonts w:eastAsia="MS Mincho" w:cstheme="minorHAnsi"/>
          <w:bCs/>
          <w:sz w:val="20"/>
          <w:szCs w:val="20"/>
          <w:lang w:eastAsia="ja-JP"/>
        </w:rPr>
      </w:pPr>
    </w:p>
    <w:sectPr w:rsidR="00413A99" w:rsidRPr="00810CC1" w:rsidSect="00F25E52">
      <w:headerReference w:type="default" r:id="rId10"/>
      <w:pgSz w:w="11907" w:h="16839" w:code="9"/>
      <w:pgMar w:top="2095" w:right="1440" w:bottom="1440" w:left="1440" w:header="70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90288" w14:textId="77777777" w:rsidR="0056447C" w:rsidRDefault="0056447C" w:rsidP="00EF5770">
      <w:pPr>
        <w:spacing w:after="0" w:line="240" w:lineRule="auto"/>
      </w:pPr>
      <w:r>
        <w:separator/>
      </w:r>
    </w:p>
  </w:endnote>
  <w:endnote w:type="continuationSeparator" w:id="0">
    <w:p w14:paraId="33E9E944" w14:textId="77777777" w:rsidR="0056447C" w:rsidRDefault="0056447C" w:rsidP="00EF5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Times New Roman Bold">
    <w:altName w:val="Times New Roman"/>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885A3" w14:textId="77777777" w:rsidR="0056447C" w:rsidRDefault="0056447C" w:rsidP="00EF5770">
      <w:pPr>
        <w:spacing w:after="0" w:line="240" w:lineRule="auto"/>
      </w:pPr>
      <w:r>
        <w:separator/>
      </w:r>
    </w:p>
  </w:footnote>
  <w:footnote w:type="continuationSeparator" w:id="0">
    <w:p w14:paraId="367E4B0D" w14:textId="77777777" w:rsidR="0056447C" w:rsidRDefault="0056447C" w:rsidP="00EF57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3AF25" w14:textId="56EE8FC6" w:rsidR="008E39B5" w:rsidRDefault="00DB5FC0">
    <w:pPr>
      <w:pStyle w:val="Encabezado"/>
    </w:pPr>
    <w:r>
      <w:rPr>
        <w:noProof/>
        <w:lang w:val="es-PY" w:eastAsia="es-PY"/>
      </w:rPr>
      <w:drawing>
        <wp:anchor distT="0" distB="0" distL="114300" distR="114300" simplePos="0" relativeHeight="251659264" behindDoc="0" locked="0" layoutInCell="1" allowOverlap="1" wp14:anchorId="190E7CBE" wp14:editId="2A1C4A43">
          <wp:simplePos x="0" y="0"/>
          <wp:positionH relativeFrom="column">
            <wp:posOffset>3308350</wp:posOffset>
          </wp:positionH>
          <wp:positionV relativeFrom="paragraph">
            <wp:posOffset>17780</wp:posOffset>
          </wp:positionV>
          <wp:extent cx="2218690" cy="842645"/>
          <wp:effectExtent l="0" t="0" r="0" b="0"/>
          <wp:wrapSquare wrapText="bothSides"/>
          <wp:docPr id="1524599221" name="Imagen 152459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8690" cy="842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55B2">
      <w:rPr>
        <w:noProof/>
        <w:lang w:val="es-PY" w:eastAsia="es-PY"/>
      </w:rPr>
      <w:drawing>
        <wp:anchor distT="0" distB="0" distL="114300" distR="114300" simplePos="0" relativeHeight="251660288" behindDoc="0" locked="0" layoutInCell="1" allowOverlap="1" wp14:anchorId="79E9BCC0" wp14:editId="16FB1A32">
          <wp:simplePos x="0" y="0"/>
          <wp:positionH relativeFrom="column">
            <wp:posOffset>0</wp:posOffset>
          </wp:positionH>
          <wp:positionV relativeFrom="paragraph">
            <wp:posOffset>-635</wp:posOffset>
          </wp:positionV>
          <wp:extent cx="2203450" cy="829798"/>
          <wp:effectExtent l="0" t="0" r="6350" b="8890"/>
          <wp:wrapNone/>
          <wp:docPr id="750560786" name="Imagen 750560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82979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82AC8"/>
    <w:multiLevelType w:val="hybridMultilevel"/>
    <w:tmpl w:val="981004C0"/>
    <w:lvl w:ilvl="0" w:tplc="91285224">
      <w:start w:val="240"/>
      <w:numFmt w:val="bullet"/>
      <w:lvlText w:val="-"/>
      <w:lvlJc w:val="left"/>
      <w:pPr>
        <w:ind w:left="720" w:hanging="36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12B5837"/>
    <w:multiLevelType w:val="hybridMultilevel"/>
    <w:tmpl w:val="1B2843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3" w15:restartNumberingAfterBreak="0">
    <w:nsid w:val="15FA53D2"/>
    <w:multiLevelType w:val="hybridMultilevel"/>
    <w:tmpl w:val="B8D2EA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182C55"/>
    <w:multiLevelType w:val="hybridMultilevel"/>
    <w:tmpl w:val="BE5EC79E"/>
    <w:lvl w:ilvl="0" w:tplc="F2509D08">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5" w15:restartNumberingAfterBreak="0">
    <w:nsid w:val="2C200352"/>
    <w:multiLevelType w:val="multilevel"/>
    <w:tmpl w:val="C276CC80"/>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6"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1924A2B"/>
    <w:multiLevelType w:val="hybridMultilevel"/>
    <w:tmpl w:val="10726CB0"/>
    <w:lvl w:ilvl="0" w:tplc="91285224">
      <w:start w:val="24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873B6A"/>
    <w:multiLevelType w:val="multilevel"/>
    <w:tmpl w:val="C06C78E2"/>
    <w:lvl w:ilvl="0">
      <w:numFmt w:val="bullet"/>
      <w:lvlText w:val="-"/>
      <w:lvlJc w:val="left"/>
      <w:pPr>
        <w:ind w:left="360" w:hanging="360"/>
      </w:pPr>
      <w:rPr>
        <w:rFonts w:ascii="Calibri Light" w:eastAsiaTheme="minorHAnsi" w:hAnsi="Calibri Light" w:cs="Calibri Light"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9" w15:restartNumberingAfterBreak="0">
    <w:nsid w:val="662E3581"/>
    <w:multiLevelType w:val="hybridMultilevel"/>
    <w:tmpl w:val="9C82ACA2"/>
    <w:lvl w:ilvl="0" w:tplc="91285224">
      <w:start w:val="24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BE3A53"/>
    <w:multiLevelType w:val="multilevel"/>
    <w:tmpl w:val="44D85ECC"/>
    <w:lvl w:ilvl="0">
      <w:start w:val="1"/>
      <w:numFmt w:val="decimal"/>
      <w:lvlText w:val="%1."/>
      <w:lvlJc w:val="left"/>
      <w:pPr>
        <w:ind w:left="360" w:hanging="360"/>
      </w:pPr>
      <w:rPr>
        <w:rFonts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num w:numId="1">
    <w:abstractNumId w:val="10"/>
  </w:num>
  <w:num w:numId="2">
    <w:abstractNumId w:val="2"/>
  </w:num>
  <w:num w:numId="3">
    <w:abstractNumId w:val="8"/>
  </w:num>
  <w:num w:numId="4">
    <w:abstractNumId w:val="1"/>
  </w:num>
  <w:num w:numId="5">
    <w:abstractNumId w:val="6"/>
  </w:num>
  <w:num w:numId="6">
    <w:abstractNumId w:val="5"/>
  </w:num>
  <w:num w:numId="7">
    <w:abstractNumId w:val="0"/>
  </w:num>
  <w:num w:numId="8">
    <w:abstractNumId w:val="7"/>
  </w:num>
  <w:num w:numId="9">
    <w:abstractNumId w:val="3"/>
  </w:num>
  <w:num w:numId="10">
    <w:abstractNumId w:val="9"/>
  </w:num>
  <w:num w:numId="11">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C69"/>
    <w:rsid w:val="000030BF"/>
    <w:rsid w:val="000059B9"/>
    <w:rsid w:val="00015079"/>
    <w:rsid w:val="0001614D"/>
    <w:rsid w:val="0001725D"/>
    <w:rsid w:val="000242A5"/>
    <w:rsid w:val="00024BFC"/>
    <w:rsid w:val="000303EA"/>
    <w:rsid w:val="00030CF0"/>
    <w:rsid w:val="00035EF6"/>
    <w:rsid w:val="0004075B"/>
    <w:rsid w:val="0004221E"/>
    <w:rsid w:val="00046190"/>
    <w:rsid w:val="000461D6"/>
    <w:rsid w:val="00051ABE"/>
    <w:rsid w:val="00051BC3"/>
    <w:rsid w:val="00065319"/>
    <w:rsid w:val="00065498"/>
    <w:rsid w:val="0007019C"/>
    <w:rsid w:val="00072420"/>
    <w:rsid w:val="000748D4"/>
    <w:rsid w:val="000748F2"/>
    <w:rsid w:val="00082B38"/>
    <w:rsid w:val="0009501E"/>
    <w:rsid w:val="00096451"/>
    <w:rsid w:val="000A1BFA"/>
    <w:rsid w:val="000B32C4"/>
    <w:rsid w:val="000B604B"/>
    <w:rsid w:val="000C5180"/>
    <w:rsid w:val="000D130F"/>
    <w:rsid w:val="000D160E"/>
    <w:rsid w:val="000D2747"/>
    <w:rsid w:val="000D7EE8"/>
    <w:rsid w:val="000E3163"/>
    <w:rsid w:val="000E39F3"/>
    <w:rsid w:val="000F0B35"/>
    <w:rsid w:val="000F1F5A"/>
    <w:rsid w:val="000F7BEC"/>
    <w:rsid w:val="001005FF"/>
    <w:rsid w:val="0011277A"/>
    <w:rsid w:val="00116241"/>
    <w:rsid w:val="001220F0"/>
    <w:rsid w:val="00122E78"/>
    <w:rsid w:val="00125AEA"/>
    <w:rsid w:val="0012726A"/>
    <w:rsid w:val="0013252E"/>
    <w:rsid w:val="001402C9"/>
    <w:rsid w:val="00142EC4"/>
    <w:rsid w:val="00152017"/>
    <w:rsid w:val="00155077"/>
    <w:rsid w:val="001554F4"/>
    <w:rsid w:val="00156817"/>
    <w:rsid w:val="00172C5F"/>
    <w:rsid w:val="0017703E"/>
    <w:rsid w:val="00180BF3"/>
    <w:rsid w:val="00182C09"/>
    <w:rsid w:val="00193C1E"/>
    <w:rsid w:val="0019745F"/>
    <w:rsid w:val="001A0556"/>
    <w:rsid w:val="001A27CA"/>
    <w:rsid w:val="001B0AFC"/>
    <w:rsid w:val="001B4D8B"/>
    <w:rsid w:val="001B59C1"/>
    <w:rsid w:val="001F003E"/>
    <w:rsid w:val="001F0A0B"/>
    <w:rsid w:val="001F289B"/>
    <w:rsid w:val="00210755"/>
    <w:rsid w:val="002146A7"/>
    <w:rsid w:val="00223E80"/>
    <w:rsid w:val="00233ABC"/>
    <w:rsid w:val="00242767"/>
    <w:rsid w:val="00243055"/>
    <w:rsid w:val="00251C4A"/>
    <w:rsid w:val="00253725"/>
    <w:rsid w:val="00256DF7"/>
    <w:rsid w:val="00266855"/>
    <w:rsid w:val="00275FB4"/>
    <w:rsid w:val="0027681E"/>
    <w:rsid w:val="00284DD3"/>
    <w:rsid w:val="002855CF"/>
    <w:rsid w:val="0028589E"/>
    <w:rsid w:val="00292C82"/>
    <w:rsid w:val="00294BF7"/>
    <w:rsid w:val="00295137"/>
    <w:rsid w:val="00295B96"/>
    <w:rsid w:val="00297A08"/>
    <w:rsid w:val="002B225F"/>
    <w:rsid w:val="002B4415"/>
    <w:rsid w:val="002B4618"/>
    <w:rsid w:val="002B6C8A"/>
    <w:rsid w:val="002B785D"/>
    <w:rsid w:val="002B7C45"/>
    <w:rsid w:val="002C064D"/>
    <w:rsid w:val="002C266D"/>
    <w:rsid w:val="002C690C"/>
    <w:rsid w:val="002C6CC5"/>
    <w:rsid w:val="002D60D7"/>
    <w:rsid w:val="002D6680"/>
    <w:rsid w:val="002E2974"/>
    <w:rsid w:val="002E6CBF"/>
    <w:rsid w:val="002F2B9B"/>
    <w:rsid w:val="00300F46"/>
    <w:rsid w:val="0030272B"/>
    <w:rsid w:val="0030428F"/>
    <w:rsid w:val="003058C3"/>
    <w:rsid w:val="00306723"/>
    <w:rsid w:val="0030675F"/>
    <w:rsid w:val="0031011B"/>
    <w:rsid w:val="00315D0C"/>
    <w:rsid w:val="00317459"/>
    <w:rsid w:val="00347A50"/>
    <w:rsid w:val="00370217"/>
    <w:rsid w:val="0037280B"/>
    <w:rsid w:val="00372CD3"/>
    <w:rsid w:val="003737B7"/>
    <w:rsid w:val="003808AF"/>
    <w:rsid w:val="00384531"/>
    <w:rsid w:val="00384A2E"/>
    <w:rsid w:val="00392FC8"/>
    <w:rsid w:val="0039714D"/>
    <w:rsid w:val="003B1BB3"/>
    <w:rsid w:val="003C32FD"/>
    <w:rsid w:val="003C548B"/>
    <w:rsid w:val="003C7D1C"/>
    <w:rsid w:val="003E1D62"/>
    <w:rsid w:val="003E78B7"/>
    <w:rsid w:val="003F20DA"/>
    <w:rsid w:val="003F4B5C"/>
    <w:rsid w:val="003F77FB"/>
    <w:rsid w:val="00412AA9"/>
    <w:rsid w:val="00413A99"/>
    <w:rsid w:val="00415AF8"/>
    <w:rsid w:val="00417137"/>
    <w:rsid w:val="004221C1"/>
    <w:rsid w:val="004357F2"/>
    <w:rsid w:val="00435A23"/>
    <w:rsid w:val="00451397"/>
    <w:rsid w:val="00451555"/>
    <w:rsid w:val="00453246"/>
    <w:rsid w:val="00462EB1"/>
    <w:rsid w:val="004668E0"/>
    <w:rsid w:val="004712DE"/>
    <w:rsid w:val="00472428"/>
    <w:rsid w:val="00476646"/>
    <w:rsid w:val="00480ABD"/>
    <w:rsid w:val="00484E3F"/>
    <w:rsid w:val="004A36AE"/>
    <w:rsid w:val="004B6215"/>
    <w:rsid w:val="004B67C7"/>
    <w:rsid w:val="004B7769"/>
    <w:rsid w:val="004C17AF"/>
    <w:rsid w:val="004C30D6"/>
    <w:rsid w:val="004C64C8"/>
    <w:rsid w:val="004D3B51"/>
    <w:rsid w:val="004D3FA0"/>
    <w:rsid w:val="004D5C6A"/>
    <w:rsid w:val="004E407E"/>
    <w:rsid w:val="004E5C96"/>
    <w:rsid w:val="004E7FB2"/>
    <w:rsid w:val="004F124C"/>
    <w:rsid w:val="004F3369"/>
    <w:rsid w:val="004F60DF"/>
    <w:rsid w:val="0050130F"/>
    <w:rsid w:val="005046B2"/>
    <w:rsid w:val="005062DC"/>
    <w:rsid w:val="00510842"/>
    <w:rsid w:val="00511BFC"/>
    <w:rsid w:val="00520BA5"/>
    <w:rsid w:val="00531E44"/>
    <w:rsid w:val="0053670C"/>
    <w:rsid w:val="00540961"/>
    <w:rsid w:val="00541ED7"/>
    <w:rsid w:val="0054250F"/>
    <w:rsid w:val="005451BB"/>
    <w:rsid w:val="005634D5"/>
    <w:rsid w:val="0056447C"/>
    <w:rsid w:val="00566B2D"/>
    <w:rsid w:val="005706DC"/>
    <w:rsid w:val="00570B8E"/>
    <w:rsid w:val="00573707"/>
    <w:rsid w:val="0058127C"/>
    <w:rsid w:val="0058191D"/>
    <w:rsid w:val="00585F77"/>
    <w:rsid w:val="00591984"/>
    <w:rsid w:val="00597870"/>
    <w:rsid w:val="005A4552"/>
    <w:rsid w:val="005A7748"/>
    <w:rsid w:val="005B4565"/>
    <w:rsid w:val="005C4A8C"/>
    <w:rsid w:val="005C54E2"/>
    <w:rsid w:val="005D1078"/>
    <w:rsid w:val="005E2215"/>
    <w:rsid w:val="005E624A"/>
    <w:rsid w:val="005F3868"/>
    <w:rsid w:val="00606505"/>
    <w:rsid w:val="00616BF7"/>
    <w:rsid w:val="00616FB2"/>
    <w:rsid w:val="00627D7D"/>
    <w:rsid w:val="00627F3A"/>
    <w:rsid w:val="00634673"/>
    <w:rsid w:val="0063489B"/>
    <w:rsid w:val="00636B9E"/>
    <w:rsid w:val="00650D3F"/>
    <w:rsid w:val="0065116A"/>
    <w:rsid w:val="006533EC"/>
    <w:rsid w:val="0066720E"/>
    <w:rsid w:val="00682E0A"/>
    <w:rsid w:val="0068334D"/>
    <w:rsid w:val="0068545E"/>
    <w:rsid w:val="006872D2"/>
    <w:rsid w:val="00693E5C"/>
    <w:rsid w:val="00694EEE"/>
    <w:rsid w:val="00696607"/>
    <w:rsid w:val="00696BB2"/>
    <w:rsid w:val="006A3076"/>
    <w:rsid w:val="006A442B"/>
    <w:rsid w:val="006A5913"/>
    <w:rsid w:val="006B1D94"/>
    <w:rsid w:val="006B37ED"/>
    <w:rsid w:val="006B41DB"/>
    <w:rsid w:val="006B5CDC"/>
    <w:rsid w:val="006C2CD2"/>
    <w:rsid w:val="006C334E"/>
    <w:rsid w:val="006D140E"/>
    <w:rsid w:val="006E1F6C"/>
    <w:rsid w:val="006E2D47"/>
    <w:rsid w:val="006E5380"/>
    <w:rsid w:val="006F3DFB"/>
    <w:rsid w:val="006F4ED9"/>
    <w:rsid w:val="006F5336"/>
    <w:rsid w:val="006F6E6D"/>
    <w:rsid w:val="00710ED4"/>
    <w:rsid w:val="00711ADE"/>
    <w:rsid w:val="00721D0B"/>
    <w:rsid w:val="00723962"/>
    <w:rsid w:val="00726779"/>
    <w:rsid w:val="0074176E"/>
    <w:rsid w:val="0074314E"/>
    <w:rsid w:val="00744605"/>
    <w:rsid w:val="0075301D"/>
    <w:rsid w:val="00755B5F"/>
    <w:rsid w:val="00755F73"/>
    <w:rsid w:val="0076674D"/>
    <w:rsid w:val="0077232B"/>
    <w:rsid w:val="007747DE"/>
    <w:rsid w:val="007778A3"/>
    <w:rsid w:val="00784B0E"/>
    <w:rsid w:val="00785A09"/>
    <w:rsid w:val="007876BC"/>
    <w:rsid w:val="00792943"/>
    <w:rsid w:val="00797FC9"/>
    <w:rsid w:val="007A3CCD"/>
    <w:rsid w:val="007A64C7"/>
    <w:rsid w:val="007B1C42"/>
    <w:rsid w:val="007B623C"/>
    <w:rsid w:val="007B7BF6"/>
    <w:rsid w:val="007C1C23"/>
    <w:rsid w:val="007C3379"/>
    <w:rsid w:val="007C5493"/>
    <w:rsid w:val="007C72CA"/>
    <w:rsid w:val="007D237C"/>
    <w:rsid w:val="007D4746"/>
    <w:rsid w:val="007E6684"/>
    <w:rsid w:val="007E7B52"/>
    <w:rsid w:val="007F0A92"/>
    <w:rsid w:val="007F11D6"/>
    <w:rsid w:val="007F76E1"/>
    <w:rsid w:val="00802C78"/>
    <w:rsid w:val="00807E7D"/>
    <w:rsid w:val="00810CC1"/>
    <w:rsid w:val="008134A0"/>
    <w:rsid w:val="00815908"/>
    <w:rsid w:val="008174A2"/>
    <w:rsid w:val="00822886"/>
    <w:rsid w:val="00822E67"/>
    <w:rsid w:val="008276BF"/>
    <w:rsid w:val="00831C78"/>
    <w:rsid w:val="0083349D"/>
    <w:rsid w:val="0083419E"/>
    <w:rsid w:val="00834BE1"/>
    <w:rsid w:val="00836DC1"/>
    <w:rsid w:val="00837543"/>
    <w:rsid w:val="00844248"/>
    <w:rsid w:val="00846BB1"/>
    <w:rsid w:val="00847092"/>
    <w:rsid w:val="00855CDF"/>
    <w:rsid w:val="008665D2"/>
    <w:rsid w:val="008679B0"/>
    <w:rsid w:val="008700D0"/>
    <w:rsid w:val="00870F5D"/>
    <w:rsid w:val="008714E8"/>
    <w:rsid w:val="008773C6"/>
    <w:rsid w:val="00883D8C"/>
    <w:rsid w:val="00895591"/>
    <w:rsid w:val="008965F7"/>
    <w:rsid w:val="008976D1"/>
    <w:rsid w:val="008B439F"/>
    <w:rsid w:val="008B6009"/>
    <w:rsid w:val="008B7244"/>
    <w:rsid w:val="008B7708"/>
    <w:rsid w:val="008D114B"/>
    <w:rsid w:val="008D2ADE"/>
    <w:rsid w:val="008D56FC"/>
    <w:rsid w:val="008E12E5"/>
    <w:rsid w:val="008E39B5"/>
    <w:rsid w:val="008E5988"/>
    <w:rsid w:val="008F2DD8"/>
    <w:rsid w:val="008F705F"/>
    <w:rsid w:val="009125E1"/>
    <w:rsid w:val="009152B0"/>
    <w:rsid w:val="00923C5C"/>
    <w:rsid w:val="009249CC"/>
    <w:rsid w:val="009346A4"/>
    <w:rsid w:val="009518DE"/>
    <w:rsid w:val="00955953"/>
    <w:rsid w:val="00963727"/>
    <w:rsid w:val="00965F02"/>
    <w:rsid w:val="00967DF5"/>
    <w:rsid w:val="009723B0"/>
    <w:rsid w:val="0097337C"/>
    <w:rsid w:val="00973FCB"/>
    <w:rsid w:val="00980D50"/>
    <w:rsid w:val="0098638B"/>
    <w:rsid w:val="009B0484"/>
    <w:rsid w:val="009B48C8"/>
    <w:rsid w:val="009B6DCC"/>
    <w:rsid w:val="009C578A"/>
    <w:rsid w:val="009E5398"/>
    <w:rsid w:val="009E7429"/>
    <w:rsid w:val="009F3033"/>
    <w:rsid w:val="009F6E99"/>
    <w:rsid w:val="00A078F3"/>
    <w:rsid w:val="00A137B2"/>
    <w:rsid w:val="00A1613D"/>
    <w:rsid w:val="00A25B2F"/>
    <w:rsid w:val="00A27280"/>
    <w:rsid w:val="00A30131"/>
    <w:rsid w:val="00A35943"/>
    <w:rsid w:val="00A35B0E"/>
    <w:rsid w:val="00A44D5A"/>
    <w:rsid w:val="00A4615B"/>
    <w:rsid w:val="00A50858"/>
    <w:rsid w:val="00A54BF4"/>
    <w:rsid w:val="00A63A0A"/>
    <w:rsid w:val="00A66015"/>
    <w:rsid w:val="00A717FD"/>
    <w:rsid w:val="00A71DDE"/>
    <w:rsid w:val="00A724DD"/>
    <w:rsid w:val="00A82ABF"/>
    <w:rsid w:val="00A85CBF"/>
    <w:rsid w:val="00A90B44"/>
    <w:rsid w:val="00A927A1"/>
    <w:rsid w:val="00A9506C"/>
    <w:rsid w:val="00AA7ED4"/>
    <w:rsid w:val="00AB0A62"/>
    <w:rsid w:val="00AB0D96"/>
    <w:rsid w:val="00AB702A"/>
    <w:rsid w:val="00AB73BB"/>
    <w:rsid w:val="00AC02A9"/>
    <w:rsid w:val="00AC37E4"/>
    <w:rsid w:val="00AC3DA7"/>
    <w:rsid w:val="00AC41A0"/>
    <w:rsid w:val="00AC5396"/>
    <w:rsid w:val="00AC760E"/>
    <w:rsid w:val="00AE0E09"/>
    <w:rsid w:val="00AE18B8"/>
    <w:rsid w:val="00AE24A2"/>
    <w:rsid w:val="00AE5A1A"/>
    <w:rsid w:val="00AF26A0"/>
    <w:rsid w:val="00AF4A3F"/>
    <w:rsid w:val="00AF4C07"/>
    <w:rsid w:val="00AF794E"/>
    <w:rsid w:val="00B0419B"/>
    <w:rsid w:val="00B05B07"/>
    <w:rsid w:val="00B07AD0"/>
    <w:rsid w:val="00B11830"/>
    <w:rsid w:val="00B14217"/>
    <w:rsid w:val="00B16BCF"/>
    <w:rsid w:val="00B1731C"/>
    <w:rsid w:val="00B21CD1"/>
    <w:rsid w:val="00B27800"/>
    <w:rsid w:val="00B30A27"/>
    <w:rsid w:val="00B3448E"/>
    <w:rsid w:val="00B50DA5"/>
    <w:rsid w:val="00B55C64"/>
    <w:rsid w:val="00B65B02"/>
    <w:rsid w:val="00B75AED"/>
    <w:rsid w:val="00B81EC6"/>
    <w:rsid w:val="00B82C69"/>
    <w:rsid w:val="00B84138"/>
    <w:rsid w:val="00B9195A"/>
    <w:rsid w:val="00BA0CCE"/>
    <w:rsid w:val="00BA4B6A"/>
    <w:rsid w:val="00BB1E33"/>
    <w:rsid w:val="00BC18EC"/>
    <w:rsid w:val="00BC2C8F"/>
    <w:rsid w:val="00BC6A88"/>
    <w:rsid w:val="00BD0609"/>
    <w:rsid w:val="00BD1F09"/>
    <w:rsid w:val="00BD6958"/>
    <w:rsid w:val="00BE013B"/>
    <w:rsid w:val="00BE42DF"/>
    <w:rsid w:val="00BE6BA0"/>
    <w:rsid w:val="00BF17D9"/>
    <w:rsid w:val="00BF4850"/>
    <w:rsid w:val="00C014A9"/>
    <w:rsid w:val="00C05DEE"/>
    <w:rsid w:val="00C07F05"/>
    <w:rsid w:val="00C12757"/>
    <w:rsid w:val="00C26B7F"/>
    <w:rsid w:val="00C30FAE"/>
    <w:rsid w:val="00C31762"/>
    <w:rsid w:val="00C32E4A"/>
    <w:rsid w:val="00C40F13"/>
    <w:rsid w:val="00C44431"/>
    <w:rsid w:val="00C44526"/>
    <w:rsid w:val="00C46EAE"/>
    <w:rsid w:val="00C507E0"/>
    <w:rsid w:val="00C54CAA"/>
    <w:rsid w:val="00C552A6"/>
    <w:rsid w:val="00C55FF4"/>
    <w:rsid w:val="00C622F0"/>
    <w:rsid w:val="00C63172"/>
    <w:rsid w:val="00C65EF4"/>
    <w:rsid w:val="00C725D9"/>
    <w:rsid w:val="00C7296E"/>
    <w:rsid w:val="00C731B7"/>
    <w:rsid w:val="00C733F8"/>
    <w:rsid w:val="00C739CE"/>
    <w:rsid w:val="00C74D31"/>
    <w:rsid w:val="00C7682B"/>
    <w:rsid w:val="00C824E2"/>
    <w:rsid w:val="00C94C02"/>
    <w:rsid w:val="00CA0271"/>
    <w:rsid w:val="00CA1C59"/>
    <w:rsid w:val="00CA3671"/>
    <w:rsid w:val="00CA4DFF"/>
    <w:rsid w:val="00CA51E8"/>
    <w:rsid w:val="00CA70C4"/>
    <w:rsid w:val="00CB02A3"/>
    <w:rsid w:val="00CB2F2C"/>
    <w:rsid w:val="00CB66F9"/>
    <w:rsid w:val="00CC0FD8"/>
    <w:rsid w:val="00CC1F49"/>
    <w:rsid w:val="00CC45D8"/>
    <w:rsid w:val="00CC798B"/>
    <w:rsid w:val="00CD2B27"/>
    <w:rsid w:val="00CD3AAC"/>
    <w:rsid w:val="00CD4728"/>
    <w:rsid w:val="00CD49CA"/>
    <w:rsid w:val="00CE506F"/>
    <w:rsid w:val="00CE790A"/>
    <w:rsid w:val="00CF3F94"/>
    <w:rsid w:val="00CF548B"/>
    <w:rsid w:val="00D03205"/>
    <w:rsid w:val="00D0637A"/>
    <w:rsid w:val="00D06665"/>
    <w:rsid w:val="00D06F24"/>
    <w:rsid w:val="00D150D1"/>
    <w:rsid w:val="00D1513A"/>
    <w:rsid w:val="00D162E9"/>
    <w:rsid w:val="00D16BF9"/>
    <w:rsid w:val="00D224BF"/>
    <w:rsid w:val="00D257BA"/>
    <w:rsid w:val="00D279EC"/>
    <w:rsid w:val="00D326A0"/>
    <w:rsid w:val="00D33415"/>
    <w:rsid w:val="00D42219"/>
    <w:rsid w:val="00D445EB"/>
    <w:rsid w:val="00D46457"/>
    <w:rsid w:val="00D665B5"/>
    <w:rsid w:val="00D66C40"/>
    <w:rsid w:val="00D67CE6"/>
    <w:rsid w:val="00D71A12"/>
    <w:rsid w:val="00D71ECB"/>
    <w:rsid w:val="00D736E0"/>
    <w:rsid w:val="00D75502"/>
    <w:rsid w:val="00D84005"/>
    <w:rsid w:val="00D845C1"/>
    <w:rsid w:val="00DA29CD"/>
    <w:rsid w:val="00DA5700"/>
    <w:rsid w:val="00DB5FC0"/>
    <w:rsid w:val="00DB679D"/>
    <w:rsid w:val="00DC1D67"/>
    <w:rsid w:val="00DC384B"/>
    <w:rsid w:val="00DC386E"/>
    <w:rsid w:val="00DC441E"/>
    <w:rsid w:val="00DC4D1B"/>
    <w:rsid w:val="00DC69A3"/>
    <w:rsid w:val="00DE13BB"/>
    <w:rsid w:val="00DF0A2D"/>
    <w:rsid w:val="00DF1478"/>
    <w:rsid w:val="00DF2E34"/>
    <w:rsid w:val="00E01277"/>
    <w:rsid w:val="00E018D1"/>
    <w:rsid w:val="00E01C5A"/>
    <w:rsid w:val="00E13CF0"/>
    <w:rsid w:val="00E163FA"/>
    <w:rsid w:val="00E203E8"/>
    <w:rsid w:val="00E22EB2"/>
    <w:rsid w:val="00E24DED"/>
    <w:rsid w:val="00E31E94"/>
    <w:rsid w:val="00E3219F"/>
    <w:rsid w:val="00E33672"/>
    <w:rsid w:val="00E34EEE"/>
    <w:rsid w:val="00E37E89"/>
    <w:rsid w:val="00E44181"/>
    <w:rsid w:val="00E444B3"/>
    <w:rsid w:val="00E446CA"/>
    <w:rsid w:val="00E44B14"/>
    <w:rsid w:val="00E551BC"/>
    <w:rsid w:val="00E57F60"/>
    <w:rsid w:val="00E70136"/>
    <w:rsid w:val="00E74D78"/>
    <w:rsid w:val="00E801FC"/>
    <w:rsid w:val="00E9607F"/>
    <w:rsid w:val="00EA163C"/>
    <w:rsid w:val="00EA1B98"/>
    <w:rsid w:val="00EA310B"/>
    <w:rsid w:val="00EA3B7C"/>
    <w:rsid w:val="00EA7145"/>
    <w:rsid w:val="00EC0CE5"/>
    <w:rsid w:val="00EC28C1"/>
    <w:rsid w:val="00ED3601"/>
    <w:rsid w:val="00EE4CEC"/>
    <w:rsid w:val="00EF36BB"/>
    <w:rsid w:val="00EF5770"/>
    <w:rsid w:val="00F0599F"/>
    <w:rsid w:val="00F06507"/>
    <w:rsid w:val="00F1024F"/>
    <w:rsid w:val="00F11B1F"/>
    <w:rsid w:val="00F16A27"/>
    <w:rsid w:val="00F205BB"/>
    <w:rsid w:val="00F225B9"/>
    <w:rsid w:val="00F23EE0"/>
    <w:rsid w:val="00F25367"/>
    <w:rsid w:val="00F25E52"/>
    <w:rsid w:val="00F30A11"/>
    <w:rsid w:val="00F31303"/>
    <w:rsid w:val="00F33E3E"/>
    <w:rsid w:val="00F4077F"/>
    <w:rsid w:val="00F42E09"/>
    <w:rsid w:val="00F519C3"/>
    <w:rsid w:val="00F56B37"/>
    <w:rsid w:val="00F576A2"/>
    <w:rsid w:val="00F64DA0"/>
    <w:rsid w:val="00F66FE6"/>
    <w:rsid w:val="00F77F22"/>
    <w:rsid w:val="00F80AA3"/>
    <w:rsid w:val="00F80D1E"/>
    <w:rsid w:val="00F83ABD"/>
    <w:rsid w:val="00F87328"/>
    <w:rsid w:val="00F952EB"/>
    <w:rsid w:val="00FA5DA1"/>
    <w:rsid w:val="00FB0DDB"/>
    <w:rsid w:val="00FB15F1"/>
    <w:rsid w:val="00FB5E5A"/>
    <w:rsid w:val="00FC0A26"/>
    <w:rsid w:val="00FC2A50"/>
    <w:rsid w:val="00FE03A7"/>
    <w:rsid w:val="00FE0AF3"/>
    <w:rsid w:val="00FE194E"/>
    <w:rsid w:val="00FE7195"/>
    <w:rsid w:val="00FF6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64408B"/>
  <w15:docId w15:val="{E9EE9616-EEB9-4128-8B74-EDEA551DD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7">
    <w:name w:val="heading 7"/>
    <w:basedOn w:val="Normal"/>
    <w:next w:val="Normal"/>
    <w:link w:val="Ttulo7Car"/>
    <w:uiPriority w:val="9"/>
    <w:semiHidden/>
    <w:unhideWhenUsed/>
    <w:qFormat/>
    <w:rsid w:val="006E1F6C"/>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titulo 5,titulo 3,Lista vistosa - Énfasis 1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eastAsia="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rPr>
      <w:lang w:val="es-ES"/>
    </w:rPr>
  </w:style>
  <w:style w:type="character" w:customStyle="1" w:styleId="PrrafodelistaCar">
    <w:name w:val="Párrafo de lista Car"/>
    <w:aliases w:val="List Paragraph1 Car,titulo 5 Car,titulo 3 Car,Lista vistosa - Énfasis 11 Car"/>
    <w:link w:val="Prrafodelista"/>
    <w:uiPriority w:val="34"/>
    <w:locked/>
    <w:rsid w:val="005706DC"/>
    <w:rPr>
      <w:lang w:val="es-ES"/>
    </w:rPr>
  </w:style>
  <w:style w:type="character" w:customStyle="1" w:styleId="Ttulo7Car">
    <w:name w:val="Título 7 Car"/>
    <w:basedOn w:val="Fuentedeprrafopredeter"/>
    <w:link w:val="Ttulo7"/>
    <w:uiPriority w:val="9"/>
    <w:semiHidden/>
    <w:rsid w:val="006E1F6C"/>
    <w:rPr>
      <w:rFonts w:eastAsiaTheme="majorEastAsia" w:cstheme="majorBidi"/>
      <w:color w:val="595959" w:themeColor="text1" w:themeTint="A6"/>
      <w:kern w:val="2"/>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153185">
      <w:bodyDiv w:val="1"/>
      <w:marLeft w:val="0"/>
      <w:marRight w:val="0"/>
      <w:marTop w:val="0"/>
      <w:marBottom w:val="0"/>
      <w:divBdr>
        <w:top w:val="none" w:sz="0" w:space="0" w:color="auto"/>
        <w:left w:val="none" w:sz="0" w:space="0" w:color="auto"/>
        <w:bottom w:val="none" w:sz="0" w:space="0" w:color="auto"/>
        <w:right w:val="none" w:sz="0" w:space="0" w:color="auto"/>
      </w:divBdr>
    </w:div>
    <w:div w:id="601302941">
      <w:bodyDiv w:val="1"/>
      <w:marLeft w:val="0"/>
      <w:marRight w:val="0"/>
      <w:marTop w:val="0"/>
      <w:marBottom w:val="0"/>
      <w:divBdr>
        <w:top w:val="none" w:sz="0" w:space="0" w:color="auto"/>
        <w:left w:val="none" w:sz="0" w:space="0" w:color="auto"/>
        <w:bottom w:val="none" w:sz="0" w:space="0" w:color="auto"/>
        <w:right w:val="none" w:sz="0" w:space="0" w:color="auto"/>
      </w:divBdr>
    </w:div>
    <w:div w:id="1162626001">
      <w:bodyDiv w:val="1"/>
      <w:marLeft w:val="0"/>
      <w:marRight w:val="0"/>
      <w:marTop w:val="0"/>
      <w:marBottom w:val="0"/>
      <w:divBdr>
        <w:top w:val="none" w:sz="0" w:space="0" w:color="auto"/>
        <w:left w:val="none" w:sz="0" w:space="0" w:color="auto"/>
        <w:bottom w:val="none" w:sz="0" w:space="0" w:color="auto"/>
        <w:right w:val="none" w:sz="0" w:space="0" w:color="auto"/>
      </w:divBdr>
    </w:div>
    <w:div w:id="1281300863">
      <w:bodyDiv w:val="1"/>
      <w:marLeft w:val="0"/>
      <w:marRight w:val="0"/>
      <w:marTop w:val="0"/>
      <w:marBottom w:val="0"/>
      <w:divBdr>
        <w:top w:val="none" w:sz="0" w:space="0" w:color="auto"/>
        <w:left w:val="none" w:sz="0" w:space="0" w:color="auto"/>
        <w:bottom w:val="none" w:sz="0" w:space="0" w:color="auto"/>
        <w:right w:val="none" w:sz="0" w:space="0" w:color="auto"/>
      </w:divBdr>
    </w:div>
    <w:div w:id="1463233850">
      <w:bodyDiv w:val="1"/>
      <w:marLeft w:val="0"/>
      <w:marRight w:val="0"/>
      <w:marTop w:val="0"/>
      <w:marBottom w:val="0"/>
      <w:divBdr>
        <w:top w:val="none" w:sz="0" w:space="0" w:color="auto"/>
        <w:left w:val="none" w:sz="0" w:space="0" w:color="auto"/>
        <w:bottom w:val="none" w:sz="0" w:space="0" w:color="auto"/>
        <w:right w:val="none" w:sz="0" w:space="0" w:color="auto"/>
      </w:divBdr>
    </w:div>
    <w:div w:id="1514299423">
      <w:bodyDiv w:val="1"/>
      <w:marLeft w:val="0"/>
      <w:marRight w:val="0"/>
      <w:marTop w:val="0"/>
      <w:marBottom w:val="0"/>
      <w:divBdr>
        <w:top w:val="none" w:sz="0" w:space="0" w:color="auto"/>
        <w:left w:val="none" w:sz="0" w:space="0" w:color="auto"/>
        <w:bottom w:val="none" w:sz="0" w:space="0" w:color="auto"/>
        <w:right w:val="none" w:sz="0" w:space="0" w:color="auto"/>
      </w:divBdr>
    </w:div>
    <w:div w:id="1732079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nfccc.int/sites/default/files/resource/CMA2018_03a02E.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nfccc.int/sites/default/files/resource/cma2021_L21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7240B0-C744-473B-AF74-7F6D6E37A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5</Pages>
  <Words>1717</Words>
  <Characters>9444</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Fabiana Cardozo</cp:lastModifiedBy>
  <cp:revision>9</cp:revision>
  <cp:lastPrinted>2026-02-04T14:16:00Z</cp:lastPrinted>
  <dcterms:created xsi:type="dcterms:W3CDTF">2026-01-29T18:03:00Z</dcterms:created>
  <dcterms:modified xsi:type="dcterms:W3CDTF">2026-02-04T14:17:00Z</dcterms:modified>
</cp:coreProperties>
</file>